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C7949" w:rsidRPr="007247C8" w:rsidRDefault="007247C8" w:rsidP="00755598">
      <w:pPr>
        <w:jc w:val="center"/>
        <w:rPr>
          <w:rFonts w:ascii="Times New Roman" w:hAnsi="Times New Roman" w:cs="Times New Roman"/>
          <w:b/>
          <w:bCs/>
          <w:sz w:val="36"/>
          <w:szCs w:val="36"/>
        </w:rPr>
      </w:pPr>
      <w:r w:rsidRPr="007247C8">
        <w:rPr>
          <w:rFonts w:ascii="Times New Roman" w:hAnsi="Times New Roman" w:cs="Times New Roman"/>
          <w:b/>
          <w:bCs/>
          <w:sz w:val="36"/>
          <w:szCs w:val="36"/>
        </w:rPr>
        <w:t>Chapitre V: Application numérique</w:t>
      </w:r>
    </w:p>
    <w:p w:rsidR="00755598" w:rsidRDefault="00755598" w:rsidP="00B90FC6">
      <w:pPr>
        <w:spacing w:line="360" w:lineRule="auto"/>
        <w:jc w:val="both"/>
        <w:rPr>
          <w:rFonts w:asciiTheme="majorBidi" w:hAnsiTheme="majorBidi" w:cstheme="majorBidi"/>
          <w:b/>
          <w:bCs/>
          <w:sz w:val="28"/>
          <w:szCs w:val="28"/>
        </w:rPr>
      </w:pPr>
    </w:p>
    <w:p w:rsidR="00E246CD" w:rsidRDefault="007247C8" w:rsidP="00755598">
      <w:pPr>
        <w:tabs>
          <w:tab w:val="right" w:pos="3544"/>
        </w:tabs>
        <w:spacing w:line="360" w:lineRule="auto"/>
        <w:jc w:val="both"/>
        <w:rPr>
          <w:rFonts w:asciiTheme="majorBidi" w:hAnsiTheme="majorBidi" w:cstheme="majorBidi"/>
          <w:b/>
          <w:bCs/>
          <w:sz w:val="28"/>
          <w:szCs w:val="28"/>
        </w:rPr>
      </w:pPr>
      <w:r w:rsidRPr="007247C8">
        <w:rPr>
          <w:rFonts w:asciiTheme="majorBidi" w:hAnsiTheme="majorBidi" w:cstheme="majorBidi"/>
          <w:b/>
          <w:bCs/>
          <w:sz w:val="28"/>
          <w:szCs w:val="28"/>
        </w:rPr>
        <w:t>Introduction :</w:t>
      </w:r>
    </w:p>
    <w:p w:rsidR="001F4E86" w:rsidRPr="00BD6307" w:rsidRDefault="001F4E86" w:rsidP="00B37BA6">
      <w:pPr>
        <w:autoSpaceDE w:val="0"/>
        <w:autoSpaceDN w:val="0"/>
        <w:adjustRightInd w:val="0"/>
        <w:spacing w:after="0" w:line="360" w:lineRule="auto"/>
        <w:ind w:firstLine="709"/>
        <w:jc w:val="both"/>
        <w:rPr>
          <w:rFonts w:ascii="Times New Roman" w:hAnsi="Times New Roman" w:cs="Times New Roman"/>
          <w:sz w:val="26"/>
          <w:szCs w:val="26"/>
        </w:rPr>
      </w:pPr>
      <w:r w:rsidRPr="007A1105">
        <w:rPr>
          <w:rFonts w:ascii="Times New Roman" w:hAnsi="Times New Roman" w:cs="Times New Roman"/>
          <w:sz w:val="26"/>
          <w:szCs w:val="26"/>
        </w:rPr>
        <w:t>Le programme développé dans le cadre de ce travail est dans le but d'analyser par</w:t>
      </w:r>
      <w:r w:rsidR="00B37BA6">
        <w:rPr>
          <w:rFonts w:ascii="Times New Roman" w:hAnsi="Times New Roman" w:cs="Times New Roman"/>
          <w:sz w:val="26"/>
          <w:szCs w:val="26"/>
        </w:rPr>
        <w:t xml:space="preserve"> </w:t>
      </w:r>
      <w:r w:rsidRPr="007A1105">
        <w:rPr>
          <w:rFonts w:ascii="Times New Roman" w:hAnsi="Times New Roman" w:cs="Times New Roman"/>
          <w:sz w:val="26"/>
          <w:szCs w:val="26"/>
        </w:rPr>
        <w:t xml:space="preserve">la méthode des </w:t>
      </w:r>
      <w:r w:rsidR="004D0A0A" w:rsidRPr="007A1105">
        <w:rPr>
          <w:rFonts w:ascii="Times New Roman" w:hAnsi="Times New Roman" w:cs="Times New Roman"/>
          <w:sz w:val="26"/>
          <w:szCs w:val="26"/>
        </w:rPr>
        <w:t>différence</w:t>
      </w:r>
      <w:r w:rsidRPr="007A1105">
        <w:rPr>
          <w:rFonts w:ascii="Times New Roman" w:hAnsi="Times New Roman" w:cs="Times New Roman"/>
          <w:sz w:val="26"/>
          <w:szCs w:val="26"/>
        </w:rPr>
        <w:t xml:space="preserve"> finis, le comportement et l'évolution de l'écoulement en nappe</w:t>
      </w:r>
      <w:r w:rsidR="00BD6307">
        <w:rPr>
          <w:rFonts w:ascii="Times New Roman" w:hAnsi="Times New Roman" w:cs="Times New Roman"/>
          <w:sz w:val="26"/>
          <w:szCs w:val="26"/>
        </w:rPr>
        <w:t xml:space="preserve"> </w:t>
      </w:r>
      <w:r w:rsidRPr="007A1105">
        <w:rPr>
          <w:rFonts w:ascii="Times New Roman" w:hAnsi="Times New Roman" w:cs="Times New Roman"/>
          <w:sz w:val="26"/>
          <w:szCs w:val="26"/>
        </w:rPr>
        <w:t>libre lors de la recharge.</w:t>
      </w:r>
    </w:p>
    <w:p w:rsidR="00B90FC6" w:rsidRPr="00E12279" w:rsidRDefault="00E246CD" w:rsidP="00BD6307">
      <w:pPr>
        <w:spacing w:line="360" w:lineRule="auto"/>
        <w:ind w:firstLine="709"/>
        <w:jc w:val="both"/>
        <w:rPr>
          <w:rFonts w:asciiTheme="majorBidi" w:hAnsiTheme="majorBidi" w:cstheme="majorBidi"/>
          <w:sz w:val="24"/>
          <w:szCs w:val="24"/>
        </w:rPr>
      </w:pPr>
      <w:r w:rsidRPr="00E246CD">
        <w:rPr>
          <w:rFonts w:asciiTheme="majorBidi" w:hAnsiTheme="majorBidi" w:cstheme="majorBidi"/>
          <w:sz w:val="24"/>
          <w:szCs w:val="24"/>
        </w:rPr>
        <w:t xml:space="preserve">Pour ce travail on a opté pour le FORTRAN 90 comme langage de </w:t>
      </w:r>
      <w:r w:rsidR="00F27F49" w:rsidRPr="00E246CD">
        <w:rPr>
          <w:rFonts w:asciiTheme="majorBidi" w:hAnsiTheme="majorBidi" w:cstheme="majorBidi"/>
          <w:sz w:val="24"/>
          <w:szCs w:val="24"/>
        </w:rPr>
        <w:t>programmation</w:t>
      </w:r>
      <w:r w:rsidRPr="00E246CD">
        <w:rPr>
          <w:rFonts w:asciiTheme="majorBidi" w:hAnsiTheme="majorBidi" w:cstheme="majorBidi"/>
          <w:sz w:val="24"/>
          <w:szCs w:val="24"/>
        </w:rPr>
        <w:t xml:space="preserve"> parce </w:t>
      </w:r>
      <w:r w:rsidR="00F27F49" w:rsidRPr="00E246CD">
        <w:rPr>
          <w:rFonts w:asciiTheme="majorBidi" w:hAnsiTheme="majorBidi" w:cstheme="majorBidi"/>
          <w:sz w:val="24"/>
          <w:szCs w:val="24"/>
        </w:rPr>
        <w:t>qu'il</w:t>
      </w:r>
      <w:r w:rsidRPr="00E246CD">
        <w:rPr>
          <w:rFonts w:asciiTheme="majorBidi" w:hAnsiTheme="majorBidi" w:cstheme="majorBidi"/>
          <w:sz w:val="24"/>
          <w:szCs w:val="24"/>
        </w:rPr>
        <w:t xml:space="preserve"> est conçu pour calculer des formulations mathématique et travaille effectivement sur les </w:t>
      </w:r>
      <w:r w:rsidRPr="00E12279">
        <w:rPr>
          <w:rFonts w:asciiTheme="majorBidi" w:hAnsiTheme="majorBidi" w:cstheme="majorBidi"/>
          <w:sz w:val="24"/>
          <w:szCs w:val="24"/>
        </w:rPr>
        <w:t xml:space="preserve">matrices. </w:t>
      </w:r>
    </w:p>
    <w:p w:rsidR="004672AB" w:rsidRDefault="004672AB" w:rsidP="002E368C">
      <w:pPr>
        <w:autoSpaceDE w:val="0"/>
        <w:autoSpaceDN w:val="0"/>
        <w:adjustRightInd w:val="0"/>
        <w:spacing w:after="0" w:line="360" w:lineRule="auto"/>
        <w:ind w:firstLine="709"/>
        <w:jc w:val="both"/>
        <w:rPr>
          <w:rFonts w:ascii="Times New Roman" w:hAnsi="Times New Roman" w:cs="Times New Roman"/>
          <w:sz w:val="24"/>
          <w:szCs w:val="24"/>
        </w:rPr>
      </w:pPr>
      <w:r w:rsidRPr="00E12279">
        <w:rPr>
          <w:rFonts w:ascii="Times New Roman" w:hAnsi="Times New Roman" w:cs="Times New Roman"/>
          <w:sz w:val="24"/>
          <w:szCs w:val="24"/>
        </w:rPr>
        <w:t>Dans le présent chapitre, l'étude est consacrée à des applications du programme</w:t>
      </w:r>
      <w:r>
        <w:rPr>
          <w:rFonts w:ascii="Times New Roman" w:hAnsi="Times New Roman" w:cs="Times New Roman"/>
          <w:sz w:val="24"/>
          <w:szCs w:val="24"/>
        </w:rPr>
        <w:t xml:space="preserve"> </w:t>
      </w:r>
      <w:r w:rsidRPr="00E12279">
        <w:rPr>
          <w:rFonts w:ascii="Times New Roman" w:hAnsi="Times New Roman" w:cs="Times New Roman"/>
          <w:sz w:val="24"/>
          <w:szCs w:val="24"/>
        </w:rPr>
        <w:t>développé sur une nappe</w:t>
      </w:r>
      <w:r w:rsidRPr="00E12279">
        <w:rPr>
          <w:rFonts w:ascii="Times New Roman" w:hAnsi="Times New Roman" w:cs="Times New Roman"/>
          <w:sz w:val="26"/>
          <w:szCs w:val="26"/>
        </w:rPr>
        <w:t xml:space="preserve"> </w:t>
      </w:r>
      <w:r w:rsidRPr="007A1105">
        <w:rPr>
          <w:rFonts w:ascii="Times New Roman" w:hAnsi="Times New Roman" w:cs="Times New Roman"/>
          <w:sz w:val="26"/>
          <w:szCs w:val="26"/>
        </w:rPr>
        <w:t>libre</w:t>
      </w:r>
      <w:r w:rsidRPr="00E12279">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E12279" w:rsidRPr="002E368C" w:rsidRDefault="004672AB" w:rsidP="00B37BA6">
      <w:pPr>
        <w:spacing w:line="360" w:lineRule="auto"/>
        <w:ind w:firstLine="709"/>
        <w:jc w:val="both"/>
        <w:rPr>
          <w:rFonts w:ascii="Times New Roman" w:hAnsi="Times New Roman" w:cs="Times New Roman"/>
          <w:b/>
          <w:bCs/>
          <w:sz w:val="28"/>
          <w:szCs w:val="28"/>
        </w:rPr>
      </w:pPr>
      <w:r w:rsidRPr="00E12279">
        <w:rPr>
          <w:rFonts w:ascii="Times New Roman" w:hAnsi="Times New Roman" w:cs="Times New Roman"/>
          <w:sz w:val="24"/>
          <w:szCs w:val="24"/>
        </w:rPr>
        <w:t>Les applications servent à étudier l’évolution dans l’espace et dans le temps de</w:t>
      </w:r>
      <w:r>
        <w:rPr>
          <w:rFonts w:ascii="Times New Roman" w:hAnsi="Times New Roman" w:cs="Times New Roman"/>
          <w:sz w:val="24"/>
          <w:szCs w:val="24"/>
        </w:rPr>
        <w:t xml:space="preserve"> la nappe</w:t>
      </w:r>
      <w:r w:rsidRPr="00E12279">
        <w:rPr>
          <w:rFonts w:ascii="Times New Roman" w:hAnsi="Times New Roman" w:cs="Times New Roman"/>
          <w:sz w:val="24"/>
          <w:szCs w:val="24"/>
        </w:rPr>
        <w:t xml:space="preserve"> suite à une recharge. Il en résulte donc la détermination de la positio</w:t>
      </w:r>
      <w:r w:rsidR="002E368C">
        <w:rPr>
          <w:rFonts w:ascii="Times New Roman" w:hAnsi="Times New Roman" w:cs="Times New Roman"/>
          <w:sz w:val="24"/>
          <w:szCs w:val="24"/>
        </w:rPr>
        <w:t xml:space="preserve">n de la surface libre et le </w:t>
      </w:r>
      <w:r w:rsidRPr="00E12279">
        <w:rPr>
          <w:rFonts w:ascii="Times New Roman" w:hAnsi="Times New Roman" w:cs="Times New Roman"/>
          <w:sz w:val="24"/>
          <w:szCs w:val="24"/>
        </w:rPr>
        <w:t>relèvement du niveau piézométrique.</w:t>
      </w:r>
    </w:p>
    <w:p w:rsidR="00953802" w:rsidRPr="00953802" w:rsidRDefault="00953802" w:rsidP="00E37CBF">
      <w:pPr>
        <w:spacing w:line="360" w:lineRule="auto"/>
        <w:jc w:val="both"/>
        <w:rPr>
          <w:rFonts w:asciiTheme="majorBidi" w:hAnsiTheme="majorBidi" w:cstheme="majorBidi"/>
          <w:b/>
          <w:bCs/>
          <w:sz w:val="28"/>
          <w:szCs w:val="28"/>
        </w:rPr>
      </w:pPr>
      <w:r w:rsidRPr="00953802">
        <w:rPr>
          <w:rFonts w:ascii="Times New Roman" w:hAnsi="Times New Roman" w:cs="Times New Roman"/>
          <w:b/>
          <w:bCs/>
          <w:sz w:val="28"/>
          <w:szCs w:val="28"/>
        </w:rPr>
        <w:t>V</w:t>
      </w:r>
      <w:r w:rsidRPr="00953802">
        <w:rPr>
          <w:rFonts w:asciiTheme="majorBidi" w:hAnsiTheme="majorBidi" w:cstheme="majorBidi"/>
          <w:b/>
          <w:bCs/>
          <w:sz w:val="28"/>
          <w:szCs w:val="28"/>
        </w:rPr>
        <w:t xml:space="preserve"> .1.Simulation d’un écoulement souterrain transitoire, dans un Aquifères à nappe libre:</w:t>
      </w:r>
    </w:p>
    <w:p w:rsidR="00953802" w:rsidRPr="00953802" w:rsidRDefault="00953802" w:rsidP="00E37CBF">
      <w:pPr>
        <w:spacing w:line="360" w:lineRule="auto"/>
        <w:jc w:val="both"/>
        <w:rPr>
          <w:rFonts w:asciiTheme="majorBidi" w:hAnsiTheme="majorBidi" w:cstheme="majorBidi"/>
        </w:rPr>
      </w:pPr>
      <w:r w:rsidRPr="00953802">
        <w:rPr>
          <w:rFonts w:asciiTheme="majorBidi" w:hAnsiTheme="majorBidi" w:cstheme="majorBidi"/>
          <w:sz w:val="24"/>
          <w:szCs w:val="24"/>
        </w:rPr>
        <w:t xml:space="preserve"> Pour réaliser cette simulation </w:t>
      </w:r>
      <w:r w:rsidRPr="00953802">
        <w:rPr>
          <w:rFonts w:asciiTheme="majorBidi" w:hAnsiTheme="majorBidi" w:cstheme="majorBidi"/>
        </w:rPr>
        <w:t xml:space="preserve"> ,on suppose une nappe libre à substratum horizontale de largeur constante B et longueur L ,en amont la hauteur piézométrique est H0,et en aval la hauteur piézométrique est HL.</w:t>
      </w:r>
    </w:p>
    <w:p w:rsidR="00953802" w:rsidRPr="00953802" w:rsidRDefault="00953802" w:rsidP="00E37CBF">
      <w:pPr>
        <w:spacing w:line="360" w:lineRule="auto"/>
        <w:jc w:val="both"/>
        <w:rPr>
          <w:rFonts w:asciiTheme="majorBidi" w:hAnsiTheme="majorBidi" w:cstheme="majorBidi"/>
          <w:sz w:val="24"/>
          <w:szCs w:val="24"/>
        </w:rPr>
      </w:pPr>
      <w:r w:rsidRPr="00953802">
        <w:rPr>
          <w:rStyle w:val="hps"/>
          <w:rFonts w:asciiTheme="majorBidi" w:hAnsiTheme="majorBidi" w:cstheme="majorBidi"/>
          <w:sz w:val="24"/>
          <w:szCs w:val="24"/>
        </w:rPr>
        <w:t>Nous représentons</w:t>
      </w:r>
      <w:r w:rsidRPr="00953802">
        <w:rPr>
          <w:rFonts w:asciiTheme="majorBidi" w:hAnsiTheme="majorBidi" w:cstheme="majorBidi"/>
          <w:sz w:val="24"/>
          <w:szCs w:val="24"/>
        </w:rPr>
        <w:t xml:space="preserve"> </w:t>
      </w:r>
      <w:r w:rsidRPr="00953802">
        <w:rPr>
          <w:rStyle w:val="hps"/>
          <w:rFonts w:asciiTheme="majorBidi" w:hAnsiTheme="majorBidi" w:cstheme="majorBidi"/>
          <w:sz w:val="24"/>
          <w:szCs w:val="24"/>
        </w:rPr>
        <w:t>la solution</w:t>
      </w:r>
      <w:r w:rsidRPr="00953802">
        <w:rPr>
          <w:rFonts w:asciiTheme="majorBidi" w:hAnsiTheme="majorBidi" w:cstheme="majorBidi"/>
          <w:sz w:val="24"/>
          <w:szCs w:val="24"/>
        </w:rPr>
        <w:t xml:space="preserve"> </w:t>
      </w:r>
      <w:r w:rsidRPr="00953802">
        <w:rPr>
          <w:rStyle w:val="hps"/>
          <w:rFonts w:asciiTheme="majorBidi" w:hAnsiTheme="majorBidi" w:cstheme="majorBidi"/>
          <w:sz w:val="24"/>
          <w:szCs w:val="24"/>
        </w:rPr>
        <w:t>numérique</w:t>
      </w:r>
      <w:r w:rsidRPr="00953802">
        <w:rPr>
          <w:rFonts w:asciiTheme="majorBidi" w:hAnsiTheme="majorBidi" w:cstheme="majorBidi"/>
          <w:sz w:val="24"/>
          <w:szCs w:val="24"/>
        </w:rPr>
        <w:t xml:space="preserve"> </w:t>
      </w:r>
      <w:r w:rsidRPr="00953802">
        <w:rPr>
          <w:rStyle w:val="hps"/>
          <w:rFonts w:asciiTheme="majorBidi" w:hAnsiTheme="majorBidi" w:cstheme="majorBidi"/>
          <w:sz w:val="24"/>
          <w:szCs w:val="24"/>
        </w:rPr>
        <w:t>et comparez</w:t>
      </w:r>
      <w:r w:rsidRPr="00953802">
        <w:rPr>
          <w:rFonts w:asciiTheme="majorBidi" w:hAnsiTheme="majorBidi" w:cstheme="majorBidi"/>
          <w:sz w:val="24"/>
          <w:szCs w:val="24"/>
        </w:rPr>
        <w:t xml:space="preserve"> </w:t>
      </w:r>
      <w:r w:rsidRPr="00953802">
        <w:rPr>
          <w:rStyle w:val="hps"/>
          <w:rFonts w:asciiTheme="majorBidi" w:hAnsiTheme="majorBidi" w:cstheme="majorBidi"/>
          <w:sz w:val="24"/>
          <w:szCs w:val="24"/>
        </w:rPr>
        <w:t>avec la solution analytique</w:t>
      </w:r>
      <w:r w:rsidRPr="00953802">
        <w:rPr>
          <w:rFonts w:asciiTheme="majorBidi" w:hAnsiTheme="majorBidi" w:cstheme="majorBidi"/>
          <w:sz w:val="24"/>
          <w:szCs w:val="24"/>
        </w:rPr>
        <w:t xml:space="preserve"> </w:t>
      </w:r>
      <w:r w:rsidRPr="00953802">
        <w:rPr>
          <w:rFonts w:ascii="Times New Roman" w:hAnsi="Times New Roman" w:cs="Times New Roman"/>
          <w:b/>
          <w:bCs/>
          <w:sz w:val="24"/>
          <w:szCs w:val="24"/>
        </w:rPr>
        <w:t>(V.1)</w:t>
      </w:r>
      <w:r w:rsidRPr="00953802">
        <w:rPr>
          <w:rFonts w:asciiTheme="majorBidi" w:hAnsiTheme="majorBidi" w:cstheme="majorBidi"/>
          <w:sz w:val="24"/>
          <w:szCs w:val="24"/>
        </w:rPr>
        <w:t>.</w:t>
      </w:r>
    </w:p>
    <w:p w:rsidR="00953802" w:rsidRPr="00953802" w:rsidRDefault="00953802" w:rsidP="00E37CBF">
      <w:pPr>
        <w:spacing w:after="0" w:line="360" w:lineRule="auto"/>
        <w:jc w:val="both"/>
        <w:rPr>
          <w:rFonts w:asciiTheme="majorBidi" w:eastAsiaTheme="minorEastAsia" w:hAnsiTheme="majorBidi" w:cstheme="majorBidi"/>
          <w:iCs/>
          <w:sz w:val="24"/>
          <w:szCs w:val="24"/>
        </w:rPr>
      </w:pPr>
      <w:r w:rsidRPr="00953802">
        <w:rPr>
          <w:rFonts w:asciiTheme="majorBidi" w:hAnsiTheme="majorBidi" w:cstheme="majorBidi"/>
        </w:rPr>
        <w:t xml:space="preserve"> </w:t>
      </w:r>
      <m:oMath>
        <m:r>
          <m:rPr>
            <m:sty m:val="p"/>
          </m:rPr>
          <w:rPr>
            <w:rFonts w:ascii="Cambria Math" w:hAnsi="Cambria Math" w:cstheme="majorBidi"/>
            <w:sz w:val="24"/>
            <w:szCs w:val="24"/>
          </w:rPr>
          <m:t>h=</m:t>
        </m:r>
        <m:rad>
          <m:radPr>
            <m:degHide m:val="on"/>
            <m:ctrlPr>
              <w:rPr>
                <w:rFonts w:ascii="Cambria Math" w:hAnsi="Cambria Math" w:cstheme="majorBidi"/>
                <w:iCs/>
                <w:sz w:val="24"/>
                <w:szCs w:val="24"/>
              </w:rPr>
            </m:ctrlPr>
          </m:radPr>
          <m:deg/>
          <m:e>
            <m:sSubSup>
              <m:sSubSupPr>
                <m:ctrlPr>
                  <w:rPr>
                    <w:rFonts w:ascii="Cambria Math" w:hAnsi="Cambria Math" w:cstheme="majorBidi"/>
                    <w:iCs/>
                    <w:sz w:val="24"/>
                    <w:szCs w:val="24"/>
                  </w:rPr>
                </m:ctrlPr>
              </m:sSubSupPr>
              <m:e>
                <m:r>
                  <m:rPr>
                    <m:sty m:val="p"/>
                  </m:rPr>
                  <w:rPr>
                    <w:rFonts w:ascii="Cambria Math" w:hAnsi="Cambria Math" w:cstheme="majorBidi"/>
                    <w:sz w:val="24"/>
                    <w:szCs w:val="24"/>
                  </w:rPr>
                  <m:t>h</m:t>
                </m:r>
              </m:e>
              <m:sub>
                <m:r>
                  <m:rPr>
                    <m:sty m:val="p"/>
                  </m:rPr>
                  <w:rPr>
                    <w:rFonts w:ascii="Cambria Math" w:hAnsi="Cambria Math" w:cstheme="majorBidi"/>
                    <w:sz w:val="24"/>
                    <w:szCs w:val="24"/>
                  </w:rPr>
                  <m:t>1</m:t>
                </m:r>
              </m:sub>
              <m:sup>
                <m:r>
                  <m:rPr>
                    <m:sty m:val="p"/>
                  </m:rPr>
                  <w:rPr>
                    <w:rFonts w:ascii="Cambria Math" w:hAnsi="Cambria Math" w:cstheme="majorBidi"/>
                    <w:sz w:val="24"/>
                    <w:szCs w:val="24"/>
                  </w:rPr>
                  <m:t>2</m:t>
                </m:r>
              </m:sup>
            </m:sSubSup>
            <m:r>
              <m:rPr>
                <m:sty m:val="p"/>
              </m:rPr>
              <w:rPr>
                <w:rFonts w:ascii="Cambria Math" w:hAnsi="Cambria Math" w:cstheme="majorBidi"/>
                <w:sz w:val="24"/>
                <w:szCs w:val="24"/>
              </w:rPr>
              <m:t>+</m:t>
            </m:r>
            <m:d>
              <m:dPr>
                <m:ctrlPr>
                  <w:rPr>
                    <w:rFonts w:ascii="Cambria Math" w:hAnsi="Cambria Math" w:cstheme="majorBidi"/>
                    <w:iCs/>
                    <w:sz w:val="24"/>
                    <w:szCs w:val="24"/>
                  </w:rPr>
                </m:ctrlPr>
              </m:dPr>
              <m:e>
                <m:sSubSup>
                  <m:sSubSupPr>
                    <m:ctrlPr>
                      <w:rPr>
                        <w:rFonts w:ascii="Cambria Math" w:hAnsi="Cambria Math" w:cstheme="majorBidi"/>
                        <w:iCs/>
                        <w:sz w:val="24"/>
                        <w:szCs w:val="24"/>
                      </w:rPr>
                    </m:ctrlPr>
                  </m:sSubSupPr>
                  <m:e>
                    <m:r>
                      <m:rPr>
                        <m:sty m:val="p"/>
                      </m:rPr>
                      <w:rPr>
                        <w:rFonts w:ascii="Cambria Math" w:hAnsi="Cambria Math" w:cstheme="majorBidi"/>
                        <w:sz w:val="24"/>
                        <w:szCs w:val="24"/>
                      </w:rPr>
                      <m:t>h</m:t>
                    </m:r>
                  </m:e>
                  <m:sub>
                    <m:r>
                      <m:rPr>
                        <m:sty m:val="p"/>
                      </m:rPr>
                      <w:rPr>
                        <w:rFonts w:ascii="Cambria Math" w:hAnsi="Cambria Math" w:cstheme="majorBidi"/>
                        <w:sz w:val="24"/>
                        <w:szCs w:val="24"/>
                      </w:rPr>
                      <m:t>2</m:t>
                    </m:r>
                  </m:sub>
                  <m:sup>
                    <m:r>
                      <m:rPr>
                        <m:sty m:val="p"/>
                      </m:rPr>
                      <w:rPr>
                        <w:rFonts w:ascii="Cambria Math" w:hAnsi="Cambria Math" w:cstheme="majorBidi"/>
                        <w:sz w:val="24"/>
                        <w:szCs w:val="24"/>
                      </w:rPr>
                      <m:t>2</m:t>
                    </m:r>
                  </m:sup>
                </m:sSubSup>
                <m:r>
                  <m:rPr>
                    <m:sty m:val="p"/>
                  </m:rPr>
                  <w:rPr>
                    <w:rFonts w:ascii="Cambria Math" w:hAnsi="Cambria Math" w:cstheme="majorBidi"/>
                    <w:sz w:val="24"/>
                    <w:szCs w:val="24"/>
                  </w:rPr>
                  <m:t>-</m:t>
                </m:r>
                <m:sSubSup>
                  <m:sSubSupPr>
                    <m:ctrlPr>
                      <w:rPr>
                        <w:rFonts w:ascii="Cambria Math" w:hAnsi="Cambria Math" w:cstheme="majorBidi"/>
                        <w:iCs/>
                        <w:sz w:val="24"/>
                        <w:szCs w:val="24"/>
                      </w:rPr>
                    </m:ctrlPr>
                  </m:sSubSupPr>
                  <m:e>
                    <m:r>
                      <m:rPr>
                        <m:sty m:val="p"/>
                      </m:rPr>
                      <w:rPr>
                        <w:rFonts w:ascii="Cambria Math" w:hAnsi="Cambria Math" w:cstheme="majorBidi"/>
                        <w:sz w:val="24"/>
                        <w:szCs w:val="24"/>
                      </w:rPr>
                      <m:t>h</m:t>
                    </m:r>
                  </m:e>
                  <m:sub>
                    <m:r>
                      <m:rPr>
                        <m:sty m:val="p"/>
                      </m:rPr>
                      <w:rPr>
                        <w:rFonts w:ascii="Cambria Math" w:hAnsi="Cambria Math" w:cstheme="majorBidi"/>
                        <w:sz w:val="24"/>
                        <w:szCs w:val="24"/>
                      </w:rPr>
                      <m:t>1</m:t>
                    </m:r>
                  </m:sub>
                  <m:sup>
                    <m:r>
                      <m:rPr>
                        <m:sty m:val="p"/>
                      </m:rPr>
                      <w:rPr>
                        <w:rFonts w:ascii="Cambria Math" w:hAnsi="Cambria Math" w:cstheme="majorBidi"/>
                        <w:sz w:val="24"/>
                        <w:szCs w:val="24"/>
                      </w:rPr>
                      <m:t>2</m:t>
                    </m:r>
                  </m:sup>
                </m:sSubSup>
              </m:e>
            </m:d>
            <m:f>
              <m:fPr>
                <m:ctrlPr>
                  <w:rPr>
                    <w:rFonts w:ascii="Cambria Math" w:hAnsi="Cambria Math" w:cstheme="majorBidi"/>
                    <w:iCs/>
                    <w:sz w:val="24"/>
                    <w:szCs w:val="24"/>
                  </w:rPr>
                </m:ctrlPr>
              </m:fPr>
              <m:num>
                <m:r>
                  <m:rPr>
                    <m:sty m:val="p"/>
                  </m:rPr>
                  <w:rPr>
                    <w:rFonts w:ascii="Cambria Math" w:hAnsi="Cambria Math" w:cstheme="majorBidi"/>
                    <w:sz w:val="24"/>
                    <w:szCs w:val="24"/>
                  </w:rPr>
                  <m:t>x</m:t>
                </m:r>
              </m:num>
              <m:den>
                <m:r>
                  <m:rPr>
                    <m:sty m:val="p"/>
                  </m:rPr>
                  <w:rPr>
                    <w:rFonts w:ascii="Cambria Math" w:hAnsi="Cambria Math" w:cstheme="majorBidi"/>
                    <w:sz w:val="24"/>
                    <w:szCs w:val="24"/>
                  </w:rPr>
                  <m:t>L</m:t>
                </m:r>
              </m:den>
            </m:f>
          </m:e>
        </m:rad>
      </m:oMath>
      <w:r w:rsidRPr="00953802">
        <w:rPr>
          <w:rFonts w:asciiTheme="majorBidi" w:eastAsiaTheme="minorEastAsia" w:hAnsiTheme="majorBidi" w:cstheme="majorBidi"/>
          <w:iCs/>
          <w:sz w:val="24"/>
          <w:szCs w:val="24"/>
        </w:rPr>
        <w:t xml:space="preserve">    Equation du linge piézométrique   [18]                                      </w:t>
      </w:r>
      <w:r w:rsidRPr="00953802">
        <w:rPr>
          <w:rFonts w:ascii="Times New Roman" w:hAnsi="Times New Roman" w:cs="Times New Roman"/>
          <w:b/>
          <w:bCs/>
          <w:sz w:val="24"/>
          <w:szCs w:val="24"/>
        </w:rPr>
        <w:t>(V.1)</w:t>
      </w:r>
    </w:p>
    <w:p w:rsidR="00953802" w:rsidRDefault="00953802" w:rsidP="00E37CBF">
      <w:pPr>
        <w:spacing w:line="360" w:lineRule="auto"/>
        <w:jc w:val="both"/>
        <w:rPr>
          <w:rFonts w:asciiTheme="majorBidi" w:hAnsiTheme="majorBidi" w:cstheme="majorBidi"/>
        </w:rPr>
      </w:pPr>
      <w:r w:rsidRPr="00953802">
        <w:rPr>
          <w:rFonts w:asciiTheme="majorBidi" w:hAnsiTheme="majorBidi" w:cstheme="majorBidi"/>
        </w:rPr>
        <w:t xml:space="preserve"> avec  h1=H0  et  h2=HL</w:t>
      </w:r>
    </w:p>
    <w:p w:rsidR="00D47D30" w:rsidRPr="00D47D30" w:rsidRDefault="00D47D30" w:rsidP="00E37CBF">
      <w:pPr>
        <w:spacing w:line="360" w:lineRule="auto"/>
        <w:jc w:val="both"/>
        <w:rPr>
          <w:rFonts w:asciiTheme="majorBidi" w:hAnsiTheme="majorBidi" w:cstheme="majorBidi"/>
          <w:sz w:val="4"/>
        </w:rPr>
      </w:pPr>
    </w:p>
    <w:p w:rsidR="00E37CBF" w:rsidRDefault="00953802" w:rsidP="00D47D30">
      <w:pPr>
        <w:spacing w:before="240" w:line="360" w:lineRule="auto"/>
        <w:jc w:val="both"/>
        <w:rPr>
          <w:rFonts w:asciiTheme="majorBidi" w:hAnsiTheme="majorBidi" w:cstheme="majorBidi"/>
        </w:rPr>
      </w:pPr>
      <w:r>
        <w:rPr>
          <w:rFonts w:asciiTheme="majorBidi" w:hAnsiTheme="majorBidi" w:cstheme="majorBidi"/>
        </w:rPr>
        <w:t>Pour valider notre</w:t>
      </w:r>
      <w:r w:rsidR="00E37CBF">
        <w:rPr>
          <w:rFonts w:asciiTheme="majorBidi" w:hAnsiTheme="majorBidi" w:cstheme="majorBidi"/>
        </w:rPr>
        <w:t xml:space="preserve"> modèle, en prend comme exemple une nappe qui a les dimensions suivantes :</w:t>
      </w:r>
    </w:p>
    <w:p w:rsidR="00E37CBF" w:rsidRPr="00B1252E" w:rsidRDefault="00E37CBF" w:rsidP="00E37CBF">
      <w:pPr>
        <w:rPr>
          <w:rFonts w:asciiTheme="majorBidi" w:hAnsiTheme="majorBidi" w:cstheme="majorBidi"/>
        </w:rPr>
      </w:pPr>
      <w:r>
        <w:rPr>
          <w:rFonts w:asciiTheme="majorBidi" w:hAnsiTheme="majorBidi" w:cstheme="majorBidi"/>
        </w:rPr>
        <w:t>L=2500, B=1000, H0=20, HL=10</w:t>
      </w:r>
    </w:p>
    <w:p w:rsidR="00D47D30" w:rsidRDefault="00E37CBF" w:rsidP="00E37CBF">
      <w:pPr>
        <w:spacing w:line="360" w:lineRule="auto"/>
        <w:jc w:val="both"/>
        <w:rPr>
          <w:rFonts w:ascii="Times New Roman" w:hAnsi="Times New Roman" w:cs="Times New Roman"/>
          <w:bCs/>
          <w:sz w:val="24"/>
          <w:szCs w:val="24"/>
        </w:rPr>
      </w:pPr>
      <w:r>
        <w:rPr>
          <w:rFonts w:asciiTheme="majorBidi" w:hAnsiTheme="majorBidi" w:cstheme="majorBidi"/>
        </w:rPr>
        <w:t>On représente sur les figures</w:t>
      </w:r>
      <w:r w:rsidRPr="00E37CBF">
        <w:rPr>
          <w:rFonts w:ascii="Times New Roman" w:hAnsi="Times New Roman" w:cs="Times New Roman"/>
          <w:bCs/>
          <w:sz w:val="24"/>
          <w:szCs w:val="24"/>
        </w:rPr>
        <w:t xml:space="preserve">(V.1) </w:t>
      </w:r>
      <w:r w:rsidRPr="00E37CBF">
        <w:rPr>
          <w:rFonts w:asciiTheme="majorBidi" w:hAnsiTheme="majorBidi" w:cstheme="majorBidi"/>
        </w:rPr>
        <w:t xml:space="preserve">et </w:t>
      </w:r>
      <w:r w:rsidRPr="00E37CBF">
        <w:rPr>
          <w:rFonts w:ascii="Times New Roman" w:hAnsi="Times New Roman" w:cs="Times New Roman"/>
          <w:bCs/>
          <w:sz w:val="24"/>
          <w:szCs w:val="24"/>
        </w:rPr>
        <w:t>(V.2)</w:t>
      </w:r>
      <w:r>
        <w:rPr>
          <w:rFonts w:ascii="Times New Roman" w:hAnsi="Times New Roman" w:cs="Times New Roman"/>
          <w:bCs/>
          <w:sz w:val="24"/>
          <w:szCs w:val="24"/>
        </w:rPr>
        <w:t xml:space="preserve"> les niveaux piézométrique de la nappe une fois le régime permanent est établi, obtenus respectivement </w:t>
      </w:r>
      <w:r w:rsidR="00D47D30">
        <w:rPr>
          <w:rFonts w:ascii="Times New Roman" w:hAnsi="Times New Roman" w:cs="Times New Roman"/>
          <w:bCs/>
          <w:sz w:val="24"/>
          <w:szCs w:val="24"/>
        </w:rPr>
        <w:t>par les deux méthodes numérique et analytique.</w:t>
      </w:r>
    </w:p>
    <w:p w:rsidR="00953802" w:rsidRPr="00953802" w:rsidRDefault="00E37CBF" w:rsidP="00E37CBF">
      <w:pPr>
        <w:spacing w:line="360" w:lineRule="auto"/>
        <w:jc w:val="both"/>
        <w:rPr>
          <w:rFonts w:asciiTheme="majorBidi" w:hAnsiTheme="majorBidi" w:cstheme="majorBidi"/>
        </w:rPr>
      </w:pPr>
      <w:r>
        <w:rPr>
          <w:rFonts w:ascii="Times New Roman" w:hAnsi="Times New Roman" w:cs="Times New Roman"/>
          <w:bCs/>
          <w:sz w:val="24"/>
          <w:szCs w:val="24"/>
        </w:rPr>
        <w:lastRenderedPageBreak/>
        <w:t xml:space="preserve"> </w:t>
      </w:r>
      <w:r>
        <w:rPr>
          <w:rFonts w:asciiTheme="majorBidi" w:hAnsiTheme="majorBidi" w:cstheme="majorBidi"/>
        </w:rPr>
        <w:t xml:space="preserve">  </w:t>
      </w:r>
      <w:r w:rsidR="00953802" w:rsidRPr="00953802">
        <w:rPr>
          <w:rFonts w:asciiTheme="majorBidi" w:hAnsiTheme="majorBidi" w:cstheme="majorBidi"/>
        </w:rPr>
        <w:t xml:space="preserve"> </w:t>
      </w:r>
    </w:p>
    <w:p w:rsidR="00486CDC" w:rsidRDefault="00EA3FDF" w:rsidP="007247C8">
      <w:pPr>
        <w:rPr>
          <w:rFonts w:asciiTheme="majorBidi" w:hAnsiTheme="majorBidi" w:cstheme="majorBidi"/>
          <w:b/>
          <w:bCs/>
        </w:rPr>
      </w:pPr>
      <w:r>
        <w:rPr>
          <w:rFonts w:asciiTheme="majorBidi" w:hAnsiTheme="majorBidi" w:cstheme="majorBidi"/>
          <w:b/>
          <w:bCs/>
          <w:noProof/>
          <w:lang w:eastAsia="fr-FR"/>
        </w:rPr>
        <w:drawing>
          <wp:inline distT="0" distB="0" distL="0" distR="0">
            <wp:extent cx="4680000" cy="3119160"/>
            <wp:effectExtent l="19050" t="0" r="630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4680000" cy="3119160"/>
                    </a:xfrm>
                    <a:prstGeom prst="rect">
                      <a:avLst/>
                    </a:prstGeom>
                    <a:noFill/>
                    <a:ln w="9525">
                      <a:noFill/>
                      <a:miter lim="800000"/>
                      <a:headEnd/>
                      <a:tailEnd/>
                    </a:ln>
                  </pic:spPr>
                </pic:pic>
              </a:graphicData>
            </a:graphic>
          </wp:inline>
        </w:drawing>
      </w:r>
    </w:p>
    <w:p w:rsidR="00486CDC" w:rsidRPr="00C55D3E" w:rsidRDefault="00B9110D" w:rsidP="00B9110D">
      <w:pPr>
        <w:jc w:val="center"/>
        <w:rPr>
          <w:rFonts w:asciiTheme="majorBidi" w:hAnsiTheme="majorBidi" w:cstheme="majorBidi"/>
        </w:rPr>
      </w:pPr>
      <w:r w:rsidRPr="00C55D3E">
        <w:rPr>
          <w:rFonts w:asciiTheme="majorBidi" w:hAnsiTheme="majorBidi" w:cstheme="majorBidi"/>
          <w:b/>
          <w:bCs/>
        </w:rPr>
        <w:t>Figure</w:t>
      </w:r>
      <w:r w:rsidR="00C55D3E" w:rsidRPr="00C55D3E">
        <w:rPr>
          <w:rFonts w:ascii="Times New Roman" w:hAnsi="Times New Roman" w:cs="Times New Roman"/>
          <w:b/>
          <w:bCs/>
        </w:rPr>
        <w:t xml:space="preserve"> V</w:t>
      </w:r>
      <w:r w:rsidR="00C55D3E" w:rsidRPr="00C55D3E">
        <w:rPr>
          <w:rFonts w:asciiTheme="majorBidi" w:hAnsiTheme="majorBidi" w:cstheme="majorBidi"/>
          <w:b/>
          <w:bCs/>
        </w:rPr>
        <w:t xml:space="preserve"> </w:t>
      </w:r>
      <w:r w:rsidR="00C55D3E">
        <w:rPr>
          <w:rFonts w:asciiTheme="majorBidi" w:hAnsiTheme="majorBidi" w:cstheme="majorBidi"/>
          <w:b/>
          <w:bCs/>
        </w:rPr>
        <w:t>.1</w:t>
      </w:r>
      <w:r w:rsidRPr="00C55D3E">
        <w:rPr>
          <w:rFonts w:asciiTheme="majorBidi" w:hAnsiTheme="majorBidi" w:cstheme="majorBidi"/>
          <w:b/>
          <w:bCs/>
        </w:rPr>
        <w:t>:</w:t>
      </w:r>
      <w:r w:rsidRPr="00C55D3E">
        <w:rPr>
          <w:rFonts w:asciiTheme="majorBidi" w:hAnsiTheme="majorBidi" w:cstheme="majorBidi"/>
        </w:rPr>
        <w:t xml:space="preserve"> Représentation de Résultat numérique (3D).</w:t>
      </w:r>
    </w:p>
    <w:p w:rsidR="00B1252E" w:rsidRDefault="00796A6D" w:rsidP="00BB603A">
      <w:pPr>
        <w:jc w:val="center"/>
        <w:rPr>
          <w:rFonts w:asciiTheme="majorBidi" w:hAnsiTheme="majorBidi" w:cstheme="majorBidi"/>
          <w:b/>
          <w:bCs/>
        </w:rPr>
      </w:pPr>
      <w:r>
        <w:rPr>
          <w:rFonts w:asciiTheme="majorBidi" w:hAnsiTheme="majorBidi" w:cstheme="majorBidi"/>
          <w:b/>
          <w:bCs/>
          <w:noProof/>
          <w:lang w:eastAsia="fr-FR"/>
        </w:rPr>
        <w:drawing>
          <wp:inline distT="0" distB="0" distL="0" distR="0">
            <wp:extent cx="4680000" cy="3081352"/>
            <wp:effectExtent l="0" t="0" r="6300" b="0"/>
            <wp:docPr id="12"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srcRect/>
                    <a:stretch>
                      <a:fillRect/>
                    </a:stretch>
                  </pic:blipFill>
                  <pic:spPr bwMode="auto">
                    <a:xfrm>
                      <a:off x="0" y="0"/>
                      <a:ext cx="4680000" cy="3081352"/>
                    </a:xfrm>
                    <a:prstGeom prst="rect">
                      <a:avLst/>
                    </a:prstGeom>
                    <a:noFill/>
                    <a:ln w="9525">
                      <a:noFill/>
                      <a:miter lim="800000"/>
                      <a:headEnd/>
                      <a:tailEnd/>
                    </a:ln>
                  </pic:spPr>
                </pic:pic>
              </a:graphicData>
            </a:graphic>
          </wp:inline>
        </w:drawing>
      </w:r>
    </w:p>
    <w:p w:rsidR="00BB603A" w:rsidRDefault="00C55D3E" w:rsidP="00F27F49">
      <w:pPr>
        <w:jc w:val="center"/>
        <w:rPr>
          <w:rFonts w:asciiTheme="majorBidi" w:hAnsiTheme="majorBidi" w:cstheme="majorBidi"/>
        </w:rPr>
      </w:pPr>
      <w:r w:rsidRPr="00C55D3E">
        <w:rPr>
          <w:rFonts w:asciiTheme="majorBidi" w:hAnsiTheme="majorBidi" w:cstheme="majorBidi"/>
          <w:b/>
          <w:bCs/>
        </w:rPr>
        <w:t>Figure</w:t>
      </w:r>
      <w:r w:rsidRPr="00C55D3E">
        <w:rPr>
          <w:rFonts w:ascii="Times New Roman" w:hAnsi="Times New Roman" w:cs="Times New Roman"/>
          <w:b/>
          <w:bCs/>
        </w:rPr>
        <w:t xml:space="preserve"> V</w:t>
      </w:r>
      <w:r w:rsidRPr="00C55D3E">
        <w:rPr>
          <w:rFonts w:asciiTheme="majorBidi" w:hAnsiTheme="majorBidi" w:cstheme="majorBidi"/>
          <w:b/>
          <w:bCs/>
        </w:rPr>
        <w:t xml:space="preserve"> </w:t>
      </w:r>
      <w:r>
        <w:rPr>
          <w:rFonts w:asciiTheme="majorBidi" w:hAnsiTheme="majorBidi" w:cstheme="majorBidi"/>
          <w:b/>
          <w:bCs/>
        </w:rPr>
        <w:t>.2</w:t>
      </w:r>
      <w:r w:rsidRPr="00C55D3E">
        <w:rPr>
          <w:rFonts w:asciiTheme="majorBidi" w:hAnsiTheme="majorBidi" w:cstheme="majorBidi"/>
          <w:b/>
          <w:bCs/>
        </w:rPr>
        <w:t>:</w:t>
      </w:r>
      <w:r w:rsidR="007C5EDB" w:rsidRPr="007C5EDB">
        <w:rPr>
          <w:rFonts w:asciiTheme="majorBidi" w:hAnsiTheme="majorBidi" w:cstheme="majorBidi"/>
          <w:sz w:val="24"/>
          <w:szCs w:val="24"/>
        </w:rPr>
        <w:t>Représentation de</w:t>
      </w:r>
      <w:r w:rsidR="007C5EDB" w:rsidRPr="007C5EDB">
        <w:rPr>
          <w:rFonts w:asciiTheme="majorBidi" w:hAnsiTheme="majorBidi" w:cstheme="majorBidi"/>
        </w:rPr>
        <w:t xml:space="preserve"> Solution analytique</w:t>
      </w:r>
      <w:r w:rsidR="007C5EDB">
        <w:rPr>
          <w:rFonts w:asciiTheme="majorBidi" w:hAnsiTheme="majorBidi" w:cstheme="majorBidi"/>
        </w:rPr>
        <w:t xml:space="preserve"> (</w:t>
      </w:r>
      <w:r w:rsidR="007C5EDB" w:rsidRPr="007C5EDB">
        <w:rPr>
          <w:rFonts w:asciiTheme="majorBidi" w:hAnsiTheme="majorBidi" w:cstheme="majorBidi"/>
        </w:rPr>
        <w:t>3D</w:t>
      </w:r>
      <w:r w:rsidR="007C5EDB">
        <w:rPr>
          <w:rFonts w:asciiTheme="majorBidi" w:hAnsiTheme="majorBidi" w:cstheme="majorBidi"/>
        </w:rPr>
        <w:t>)</w:t>
      </w:r>
      <w:r w:rsidR="007C5EDB" w:rsidRPr="007C5EDB">
        <w:rPr>
          <w:rFonts w:asciiTheme="majorBidi" w:hAnsiTheme="majorBidi" w:cstheme="majorBidi"/>
        </w:rPr>
        <w:t>.</w:t>
      </w:r>
    </w:p>
    <w:p w:rsidR="00617E5D" w:rsidRDefault="00617E5D" w:rsidP="00BB603A">
      <w:pPr>
        <w:rPr>
          <w:rFonts w:ascii="Times New Roman" w:hAnsi="Times New Roman" w:cs="Times New Roman"/>
          <w:sz w:val="24"/>
          <w:szCs w:val="24"/>
        </w:rPr>
      </w:pPr>
    </w:p>
    <w:p w:rsidR="00617E5D" w:rsidRDefault="00617E5D" w:rsidP="00BB603A">
      <w:pPr>
        <w:rPr>
          <w:rFonts w:asciiTheme="majorBidi" w:hAnsiTheme="majorBidi" w:cstheme="majorBidi"/>
          <w:noProof/>
        </w:rPr>
      </w:pPr>
      <w:r>
        <w:rPr>
          <w:rFonts w:ascii="Times New Roman" w:hAnsi="Times New Roman" w:cs="Times New Roman"/>
          <w:sz w:val="24"/>
          <w:szCs w:val="24"/>
        </w:rPr>
        <w:t xml:space="preserve">      </w:t>
      </w:r>
      <w:r w:rsidR="00D47D30" w:rsidRPr="00D47D30">
        <w:rPr>
          <w:rFonts w:ascii="Times New Roman" w:hAnsi="Times New Roman" w:cs="Times New Roman"/>
          <w:sz w:val="24"/>
          <w:szCs w:val="24"/>
        </w:rPr>
        <w:t>On regroupe sur la même figure</w:t>
      </w:r>
      <w:r w:rsidR="00D47D30" w:rsidRPr="00D47D30">
        <w:rPr>
          <w:rFonts w:ascii="Times New Roman" w:hAnsi="Times New Roman" w:cs="Times New Roman"/>
          <w:bCs/>
          <w:sz w:val="24"/>
          <w:szCs w:val="24"/>
        </w:rPr>
        <w:t>(V.3)</w:t>
      </w:r>
      <w:r w:rsidR="00D47D30" w:rsidRPr="00D47D30">
        <w:rPr>
          <w:rFonts w:ascii="Times New Roman" w:hAnsi="Times New Roman" w:cs="Times New Roman"/>
          <w:sz w:val="24"/>
          <w:szCs w:val="24"/>
        </w:rPr>
        <w:t xml:space="preserve">  </w:t>
      </w:r>
      <w:r w:rsidR="00D47D30">
        <w:rPr>
          <w:rFonts w:ascii="Times New Roman" w:hAnsi="Times New Roman" w:cs="Times New Roman"/>
          <w:sz w:val="24"/>
          <w:szCs w:val="24"/>
        </w:rPr>
        <w:t xml:space="preserve">les </w:t>
      </w:r>
      <w:r w:rsidR="00D47D30" w:rsidRPr="00D47D30">
        <w:rPr>
          <w:rFonts w:ascii="Times New Roman" w:hAnsi="Times New Roman" w:cs="Times New Roman"/>
          <w:sz w:val="24"/>
          <w:szCs w:val="24"/>
        </w:rPr>
        <w:t>courbe</w:t>
      </w:r>
      <w:r w:rsidR="00D47D30">
        <w:rPr>
          <w:rFonts w:ascii="Times New Roman" w:hAnsi="Times New Roman" w:cs="Times New Roman"/>
          <w:sz w:val="24"/>
          <w:szCs w:val="24"/>
        </w:rPr>
        <w:t xml:space="preserve">s </w:t>
      </w:r>
      <w:r>
        <w:rPr>
          <w:rFonts w:ascii="Times New Roman" w:hAnsi="Times New Roman" w:cs="Times New Roman"/>
          <w:sz w:val="24"/>
          <w:szCs w:val="24"/>
        </w:rPr>
        <w:t>des niveaux piézométriques</w:t>
      </w:r>
      <w:r w:rsidR="00D47D30">
        <w:rPr>
          <w:rFonts w:ascii="Times New Roman" w:hAnsi="Times New Roman" w:cs="Times New Roman"/>
          <w:sz w:val="24"/>
          <w:szCs w:val="24"/>
        </w:rPr>
        <w:t xml:space="preserve"> le long de la nappe obtenu par </w:t>
      </w:r>
      <w:r>
        <w:rPr>
          <w:rFonts w:ascii="Times New Roman" w:hAnsi="Times New Roman" w:cs="Times New Roman"/>
          <w:sz w:val="24"/>
          <w:szCs w:val="24"/>
        </w:rPr>
        <w:t>les méthodes analytique et numérique</w:t>
      </w:r>
      <w:r w:rsidR="00D47D30">
        <w:rPr>
          <w:rFonts w:ascii="Times New Roman" w:hAnsi="Times New Roman" w:cs="Times New Roman"/>
          <w:sz w:val="24"/>
          <w:szCs w:val="24"/>
        </w:rPr>
        <w:t>.</w:t>
      </w:r>
      <w:r w:rsidR="00D47D30" w:rsidRPr="00D47D30">
        <w:rPr>
          <w:rFonts w:asciiTheme="majorBidi" w:hAnsiTheme="majorBidi" w:cstheme="majorBidi"/>
          <w:noProof/>
        </w:rPr>
        <w:t xml:space="preserve"> </w:t>
      </w:r>
    </w:p>
    <w:p w:rsidR="00617E5D" w:rsidRDefault="00617E5D" w:rsidP="00BB603A">
      <w:pPr>
        <w:rPr>
          <w:rFonts w:asciiTheme="majorBidi" w:hAnsiTheme="majorBidi" w:cstheme="majorBidi"/>
          <w:noProof/>
        </w:rPr>
      </w:pPr>
    </w:p>
    <w:p w:rsidR="00617E5D" w:rsidRDefault="00617E5D" w:rsidP="00BB603A">
      <w:pPr>
        <w:rPr>
          <w:rFonts w:asciiTheme="majorBidi" w:hAnsiTheme="majorBidi" w:cstheme="majorBidi"/>
          <w:noProof/>
        </w:rPr>
      </w:pPr>
    </w:p>
    <w:p w:rsidR="00D47D30" w:rsidRPr="00D47D30" w:rsidRDefault="00D47D30" w:rsidP="00BB603A">
      <w:pPr>
        <w:rPr>
          <w:rFonts w:asciiTheme="majorBidi" w:hAnsiTheme="majorBidi" w:cstheme="majorBidi"/>
          <w:noProof/>
        </w:rPr>
      </w:pPr>
      <w:r w:rsidRPr="00D47D30">
        <w:rPr>
          <w:rFonts w:asciiTheme="majorBidi" w:hAnsiTheme="majorBidi" w:cstheme="majorBidi"/>
          <w:noProof/>
        </w:rPr>
        <w:lastRenderedPageBreak/>
        <w:t xml:space="preserve"> </w:t>
      </w:r>
    </w:p>
    <w:p w:rsidR="00BB603A" w:rsidRDefault="001F4EA5" w:rsidP="00BB603A">
      <w:r w:rsidRPr="001F4EA5">
        <w:rPr>
          <w:rFonts w:asciiTheme="majorBidi" w:hAnsiTheme="majorBidi" w:cstheme="majorBidi"/>
          <w:noProof/>
          <w:lang w:val="en-US"/>
        </w:rPr>
        <w:pict>
          <v:shapetype id="_x0000_t202" coordsize="21600,21600" o:spt="202" path="m,l,21600r21600,l21600,xe">
            <v:stroke joinstyle="miter"/>
            <v:path gradientshapeok="t" o:connecttype="rect"/>
          </v:shapetype>
          <v:shape id="_x0000_s1030" type="#_x0000_t202" style="position:absolute;margin-left:0;margin-top:.9pt;width:435.25pt;height:394.35pt;z-index:251665408;mso-position-horizontal:center;mso-width-relative:margin;mso-height-relative:margin">
            <v:textbox style="mso-next-textbox:#_x0000_s1030">
              <w:txbxContent>
                <w:p w:rsidR="001A058F" w:rsidRDefault="001A058F" w:rsidP="003D7765">
                  <w:pPr>
                    <w:jc w:val="center"/>
                  </w:pPr>
                  <w:r w:rsidRPr="001534C3">
                    <w:rPr>
                      <w:noProof/>
                      <w:lang w:eastAsia="fr-FR"/>
                    </w:rPr>
                    <w:drawing>
                      <wp:inline distT="0" distB="0" distL="0" distR="0">
                        <wp:extent cx="5343525" cy="4933950"/>
                        <wp:effectExtent l="19050" t="0" r="9525" b="0"/>
                        <wp:docPr id="33"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srcRect/>
                                <a:stretch>
                                  <a:fillRect/>
                                </a:stretch>
                              </pic:blipFill>
                              <pic:spPr bwMode="auto">
                                <a:xfrm>
                                  <a:off x="0" y="0"/>
                                  <a:ext cx="5347210" cy="4937352"/>
                                </a:xfrm>
                                <a:prstGeom prst="rect">
                                  <a:avLst/>
                                </a:prstGeom>
                                <a:noFill/>
                                <a:ln w="9525">
                                  <a:noFill/>
                                  <a:miter lim="800000"/>
                                  <a:headEnd/>
                                  <a:tailEnd/>
                                </a:ln>
                              </pic:spPr>
                            </pic:pic>
                          </a:graphicData>
                        </a:graphic>
                      </wp:inline>
                    </w:drawing>
                  </w:r>
                </w:p>
              </w:txbxContent>
            </v:textbox>
          </v:shape>
        </w:pict>
      </w:r>
    </w:p>
    <w:p w:rsidR="00BB603A" w:rsidRPr="001534C3" w:rsidRDefault="00BB603A" w:rsidP="00BB603A"/>
    <w:p w:rsidR="00BB603A" w:rsidRPr="001534C3" w:rsidRDefault="00BB603A" w:rsidP="00BB603A"/>
    <w:p w:rsidR="00BB603A" w:rsidRPr="001534C3" w:rsidRDefault="00BB603A" w:rsidP="00BB603A"/>
    <w:p w:rsidR="00BB603A" w:rsidRPr="001534C3" w:rsidRDefault="00BB603A" w:rsidP="00BB603A"/>
    <w:p w:rsidR="00BB603A" w:rsidRPr="001534C3" w:rsidRDefault="00BB603A" w:rsidP="00BB603A"/>
    <w:p w:rsidR="00BB603A" w:rsidRPr="001534C3" w:rsidRDefault="00BB603A" w:rsidP="00BB603A"/>
    <w:p w:rsidR="00BB603A" w:rsidRPr="001534C3" w:rsidRDefault="00BB603A" w:rsidP="00BB603A"/>
    <w:p w:rsidR="00BB603A" w:rsidRPr="001534C3" w:rsidRDefault="00BB603A" w:rsidP="00BB603A"/>
    <w:p w:rsidR="00BB603A" w:rsidRDefault="00BB603A" w:rsidP="00BB603A"/>
    <w:p w:rsidR="003D7765" w:rsidRDefault="003D7765" w:rsidP="00095682"/>
    <w:p w:rsidR="00407D88" w:rsidRDefault="00407D88" w:rsidP="00407D88">
      <w:pPr>
        <w:jc w:val="center"/>
        <w:rPr>
          <w:rFonts w:asciiTheme="majorBidi" w:hAnsiTheme="majorBidi" w:cstheme="majorBidi"/>
          <w:b/>
          <w:bCs/>
          <w:sz w:val="24"/>
          <w:szCs w:val="24"/>
        </w:rPr>
      </w:pPr>
    </w:p>
    <w:p w:rsidR="00407D88" w:rsidRDefault="00407D88" w:rsidP="00407D88">
      <w:pPr>
        <w:jc w:val="center"/>
        <w:rPr>
          <w:rFonts w:asciiTheme="majorBidi" w:hAnsiTheme="majorBidi" w:cstheme="majorBidi"/>
          <w:b/>
          <w:bCs/>
          <w:sz w:val="24"/>
          <w:szCs w:val="24"/>
        </w:rPr>
      </w:pPr>
    </w:p>
    <w:p w:rsidR="00703BFA" w:rsidRDefault="00703BFA" w:rsidP="00703BFA">
      <w:pPr>
        <w:rPr>
          <w:rFonts w:asciiTheme="majorBidi" w:hAnsiTheme="majorBidi" w:cstheme="majorBidi"/>
          <w:b/>
          <w:bCs/>
          <w:sz w:val="24"/>
          <w:szCs w:val="24"/>
        </w:rPr>
      </w:pPr>
    </w:p>
    <w:p w:rsidR="00703BFA" w:rsidRDefault="00703BFA" w:rsidP="008C27C4">
      <w:pPr>
        <w:jc w:val="center"/>
        <w:rPr>
          <w:rFonts w:asciiTheme="majorBidi" w:hAnsiTheme="majorBidi" w:cstheme="majorBidi"/>
          <w:b/>
          <w:bCs/>
          <w:sz w:val="24"/>
          <w:szCs w:val="24"/>
        </w:rPr>
      </w:pPr>
    </w:p>
    <w:p w:rsidR="00755598" w:rsidRDefault="00755598" w:rsidP="00B90FC6">
      <w:pPr>
        <w:spacing w:line="360" w:lineRule="auto"/>
        <w:jc w:val="center"/>
        <w:rPr>
          <w:rFonts w:asciiTheme="majorBidi" w:hAnsiTheme="majorBidi" w:cstheme="majorBidi"/>
          <w:b/>
          <w:bCs/>
        </w:rPr>
      </w:pPr>
    </w:p>
    <w:p w:rsidR="00617E5D" w:rsidRDefault="00C55D3E" w:rsidP="00617E5D">
      <w:pPr>
        <w:jc w:val="center"/>
        <w:rPr>
          <w:rFonts w:asciiTheme="majorBidi" w:hAnsiTheme="majorBidi" w:cstheme="majorBidi"/>
          <w:noProof/>
        </w:rPr>
      </w:pPr>
      <w:r w:rsidRPr="00C55D3E">
        <w:rPr>
          <w:rFonts w:asciiTheme="majorBidi" w:hAnsiTheme="majorBidi" w:cstheme="majorBidi"/>
          <w:b/>
          <w:bCs/>
        </w:rPr>
        <w:t>Figure</w:t>
      </w:r>
      <w:r w:rsidRPr="00C55D3E">
        <w:rPr>
          <w:rFonts w:ascii="Times New Roman" w:hAnsi="Times New Roman" w:cs="Times New Roman"/>
          <w:b/>
          <w:bCs/>
        </w:rPr>
        <w:t xml:space="preserve"> V</w:t>
      </w:r>
      <w:r w:rsidRPr="00C55D3E">
        <w:rPr>
          <w:rFonts w:asciiTheme="majorBidi" w:hAnsiTheme="majorBidi" w:cstheme="majorBidi"/>
          <w:b/>
          <w:bCs/>
        </w:rPr>
        <w:t xml:space="preserve"> </w:t>
      </w:r>
      <w:r>
        <w:rPr>
          <w:rFonts w:asciiTheme="majorBidi" w:hAnsiTheme="majorBidi" w:cstheme="majorBidi"/>
          <w:b/>
          <w:bCs/>
        </w:rPr>
        <w:t>.3</w:t>
      </w:r>
      <w:r w:rsidRPr="00C55D3E">
        <w:rPr>
          <w:rFonts w:asciiTheme="majorBidi" w:hAnsiTheme="majorBidi" w:cstheme="majorBidi"/>
          <w:b/>
          <w:bCs/>
        </w:rPr>
        <w:t>:</w:t>
      </w:r>
      <w:r w:rsidRPr="00C55D3E">
        <w:rPr>
          <w:rFonts w:asciiTheme="majorBidi" w:hAnsiTheme="majorBidi" w:cstheme="majorBidi"/>
        </w:rPr>
        <w:t xml:space="preserve"> </w:t>
      </w:r>
      <w:r w:rsidR="00617E5D">
        <w:rPr>
          <w:rFonts w:ascii="Times New Roman" w:hAnsi="Times New Roman" w:cs="Times New Roman"/>
          <w:sz w:val="24"/>
          <w:szCs w:val="24"/>
        </w:rPr>
        <w:t>niveaux piézométriques le long de la nappe obtenu par les méthodes analytique et numérique.</w:t>
      </w:r>
    </w:p>
    <w:p w:rsidR="004D0A0A" w:rsidRDefault="004D0A0A" w:rsidP="00B90FC6">
      <w:pPr>
        <w:spacing w:line="360" w:lineRule="auto"/>
        <w:jc w:val="center"/>
        <w:rPr>
          <w:rFonts w:asciiTheme="majorBidi" w:hAnsiTheme="majorBidi" w:cstheme="majorBidi"/>
          <w:sz w:val="24"/>
          <w:szCs w:val="24"/>
        </w:rPr>
      </w:pPr>
    </w:p>
    <w:p w:rsidR="002F0AC6" w:rsidRDefault="002F0AC6" w:rsidP="00B90FC6">
      <w:pPr>
        <w:spacing w:line="360" w:lineRule="auto"/>
        <w:jc w:val="both"/>
        <w:rPr>
          <w:rFonts w:ascii="Times New Roman" w:hAnsi="Times New Roman" w:cs="Times New Roman"/>
          <w:sz w:val="24"/>
          <w:szCs w:val="24"/>
        </w:rPr>
      </w:pPr>
    </w:p>
    <w:p w:rsidR="002F0AC6" w:rsidRDefault="00617E5D" w:rsidP="00B90FC6">
      <w:pPr>
        <w:spacing w:line="360" w:lineRule="auto"/>
        <w:jc w:val="both"/>
        <w:rPr>
          <w:rStyle w:val="hps"/>
          <w:rFonts w:ascii="Times New Roman" w:hAnsi="Times New Roman" w:cs="Times New Roman"/>
          <w:sz w:val="24"/>
          <w:szCs w:val="24"/>
        </w:rPr>
      </w:pPr>
      <w:r w:rsidRPr="00617E5D">
        <w:rPr>
          <w:rStyle w:val="hps"/>
          <w:rFonts w:ascii="Times New Roman" w:hAnsi="Times New Roman" w:cs="Times New Roman"/>
          <w:sz w:val="24"/>
          <w:szCs w:val="24"/>
        </w:rPr>
        <w:t xml:space="preserve"> On remarque</w:t>
      </w:r>
      <w:r w:rsidRPr="00617E5D">
        <w:rPr>
          <w:rFonts w:ascii="Times New Roman" w:hAnsi="Times New Roman" w:cs="Times New Roman"/>
          <w:sz w:val="24"/>
          <w:szCs w:val="24"/>
        </w:rPr>
        <w:t xml:space="preserve"> </w:t>
      </w:r>
      <w:r w:rsidR="008C27C4" w:rsidRPr="00617E5D">
        <w:rPr>
          <w:rStyle w:val="hps"/>
          <w:rFonts w:ascii="Times New Roman" w:hAnsi="Times New Roman" w:cs="Times New Roman"/>
          <w:sz w:val="24"/>
          <w:szCs w:val="24"/>
        </w:rPr>
        <w:t>qu'il y</w:t>
      </w:r>
      <w:r w:rsidRPr="00617E5D">
        <w:rPr>
          <w:rStyle w:val="hps"/>
          <w:rFonts w:ascii="Times New Roman" w:hAnsi="Times New Roman" w:cs="Times New Roman"/>
          <w:sz w:val="24"/>
          <w:szCs w:val="24"/>
        </w:rPr>
        <w:t xml:space="preserve"> </w:t>
      </w:r>
      <w:r w:rsidR="008C27C4" w:rsidRPr="00617E5D">
        <w:rPr>
          <w:rStyle w:val="hps"/>
          <w:rFonts w:ascii="Times New Roman" w:hAnsi="Times New Roman" w:cs="Times New Roman"/>
          <w:sz w:val="24"/>
          <w:szCs w:val="24"/>
        </w:rPr>
        <w:t xml:space="preserve">a </w:t>
      </w:r>
      <w:r w:rsidR="00703BFA" w:rsidRPr="00617E5D">
        <w:rPr>
          <w:rStyle w:val="hps"/>
          <w:rFonts w:ascii="Times New Roman" w:hAnsi="Times New Roman" w:cs="Times New Roman"/>
          <w:sz w:val="24"/>
          <w:szCs w:val="24"/>
        </w:rPr>
        <w:t>une</w:t>
      </w:r>
      <w:r w:rsidR="00703BFA" w:rsidRPr="00617E5D">
        <w:rPr>
          <w:rFonts w:ascii="Times New Roman" w:hAnsi="Times New Roman" w:cs="Times New Roman"/>
          <w:sz w:val="24"/>
          <w:szCs w:val="24"/>
        </w:rPr>
        <w:t xml:space="preserve"> Petite</w:t>
      </w:r>
      <w:r w:rsidR="00703BFA" w:rsidRPr="00617E5D">
        <w:rPr>
          <w:rStyle w:val="hps"/>
          <w:rFonts w:ascii="Times New Roman" w:hAnsi="Times New Roman" w:cs="Times New Roman"/>
          <w:sz w:val="24"/>
          <w:szCs w:val="24"/>
        </w:rPr>
        <w:t xml:space="preserve"> </w:t>
      </w:r>
      <w:r w:rsidR="008C27C4" w:rsidRPr="00617E5D">
        <w:rPr>
          <w:rStyle w:val="hps"/>
          <w:rFonts w:ascii="Times New Roman" w:hAnsi="Times New Roman" w:cs="Times New Roman"/>
          <w:sz w:val="24"/>
          <w:szCs w:val="24"/>
        </w:rPr>
        <w:t>différence</w:t>
      </w:r>
      <w:r w:rsidR="008C27C4" w:rsidRPr="00617E5D">
        <w:rPr>
          <w:rFonts w:ascii="Times New Roman" w:hAnsi="Times New Roman" w:cs="Times New Roman"/>
          <w:sz w:val="24"/>
          <w:szCs w:val="24"/>
        </w:rPr>
        <w:t xml:space="preserve"> </w:t>
      </w:r>
      <w:r w:rsidR="008C27C4" w:rsidRPr="00617E5D">
        <w:rPr>
          <w:rStyle w:val="hps"/>
          <w:rFonts w:ascii="Times New Roman" w:hAnsi="Times New Roman" w:cs="Times New Roman"/>
          <w:sz w:val="24"/>
          <w:szCs w:val="24"/>
        </w:rPr>
        <w:t>entre les deux courbes</w:t>
      </w:r>
      <w:r w:rsidR="008C27C4" w:rsidRPr="00617E5D">
        <w:rPr>
          <w:rFonts w:ascii="Times New Roman" w:hAnsi="Times New Roman" w:cs="Times New Roman"/>
          <w:sz w:val="24"/>
          <w:szCs w:val="24"/>
        </w:rPr>
        <w:t>.</w:t>
      </w:r>
      <w:r w:rsidRPr="00617E5D">
        <w:rPr>
          <w:rFonts w:ascii="Times New Roman" w:hAnsi="Times New Roman" w:cs="Times New Roman"/>
          <w:sz w:val="24"/>
          <w:szCs w:val="24"/>
        </w:rPr>
        <w:t xml:space="preserve"> Cette </w:t>
      </w:r>
      <w:r w:rsidR="00407D88" w:rsidRPr="00617E5D">
        <w:rPr>
          <w:rStyle w:val="hps"/>
          <w:rFonts w:ascii="Times New Roman" w:hAnsi="Times New Roman" w:cs="Times New Roman"/>
          <w:sz w:val="24"/>
          <w:szCs w:val="24"/>
        </w:rPr>
        <w:t xml:space="preserve"> différence entre</w:t>
      </w:r>
      <w:r w:rsidR="00407D88" w:rsidRPr="00617E5D">
        <w:rPr>
          <w:rFonts w:ascii="Times New Roman" w:hAnsi="Times New Roman" w:cs="Times New Roman"/>
          <w:sz w:val="24"/>
          <w:szCs w:val="24"/>
        </w:rPr>
        <w:t xml:space="preserve"> </w:t>
      </w:r>
      <w:r w:rsidR="00407D88" w:rsidRPr="00617E5D">
        <w:rPr>
          <w:rStyle w:val="hps"/>
          <w:rFonts w:ascii="Times New Roman" w:hAnsi="Times New Roman" w:cs="Times New Roman"/>
          <w:sz w:val="24"/>
          <w:szCs w:val="24"/>
        </w:rPr>
        <w:t>les</w:t>
      </w:r>
      <w:r w:rsidR="00407D88" w:rsidRPr="00617E5D">
        <w:rPr>
          <w:rFonts w:ascii="Times New Roman" w:hAnsi="Times New Roman" w:cs="Times New Roman"/>
          <w:sz w:val="24"/>
          <w:szCs w:val="24"/>
        </w:rPr>
        <w:t xml:space="preserve"> </w:t>
      </w:r>
      <w:r w:rsidR="00407D88" w:rsidRPr="00617E5D">
        <w:rPr>
          <w:rStyle w:val="hps"/>
          <w:rFonts w:ascii="Times New Roman" w:hAnsi="Times New Roman" w:cs="Times New Roman"/>
          <w:sz w:val="24"/>
          <w:szCs w:val="24"/>
        </w:rPr>
        <w:t>deux</w:t>
      </w:r>
      <w:r w:rsidR="00407D88" w:rsidRPr="00617E5D">
        <w:rPr>
          <w:rFonts w:ascii="Times New Roman" w:hAnsi="Times New Roman" w:cs="Times New Roman"/>
          <w:sz w:val="24"/>
          <w:szCs w:val="24"/>
        </w:rPr>
        <w:t xml:space="preserve"> </w:t>
      </w:r>
      <w:r w:rsidR="00407D88" w:rsidRPr="00617E5D">
        <w:rPr>
          <w:rStyle w:val="hps"/>
          <w:rFonts w:ascii="Times New Roman" w:hAnsi="Times New Roman" w:cs="Times New Roman"/>
          <w:sz w:val="24"/>
          <w:szCs w:val="24"/>
        </w:rPr>
        <w:t>courbes</w:t>
      </w:r>
      <w:r w:rsidR="00407D88" w:rsidRPr="00617E5D">
        <w:rPr>
          <w:rFonts w:ascii="Times New Roman" w:hAnsi="Times New Roman" w:cs="Times New Roman"/>
          <w:sz w:val="24"/>
          <w:szCs w:val="24"/>
        </w:rPr>
        <w:t xml:space="preserve"> </w:t>
      </w:r>
      <w:r w:rsidR="00407D88" w:rsidRPr="00617E5D">
        <w:rPr>
          <w:rStyle w:val="hps"/>
          <w:rFonts w:ascii="Times New Roman" w:hAnsi="Times New Roman" w:cs="Times New Roman"/>
          <w:sz w:val="24"/>
          <w:szCs w:val="24"/>
        </w:rPr>
        <w:t>est</w:t>
      </w:r>
      <w:r>
        <w:rPr>
          <w:rStyle w:val="hps"/>
          <w:rFonts w:ascii="Times New Roman" w:hAnsi="Times New Roman" w:cs="Times New Roman"/>
          <w:sz w:val="24"/>
          <w:szCs w:val="24"/>
        </w:rPr>
        <w:t xml:space="preserve"> due à la négligence des paramètres </w:t>
      </w:r>
      <w:r w:rsidR="00407D88" w:rsidRPr="00617E5D">
        <w:rPr>
          <w:rStyle w:val="hps"/>
          <w:rFonts w:ascii="Times New Roman" w:hAnsi="Times New Roman" w:cs="Times New Roman"/>
          <w:sz w:val="24"/>
          <w:szCs w:val="24"/>
        </w:rPr>
        <w:t>K et S Qui ont</w:t>
      </w:r>
      <w:r w:rsidR="00407D88" w:rsidRPr="00617E5D">
        <w:rPr>
          <w:rFonts w:ascii="Times New Roman" w:hAnsi="Times New Roman" w:cs="Times New Roman"/>
          <w:sz w:val="24"/>
          <w:szCs w:val="24"/>
        </w:rPr>
        <w:t xml:space="preserve"> </w:t>
      </w:r>
      <w:r w:rsidR="00407D88" w:rsidRPr="00617E5D">
        <w:rPr>
          <w:rStyle w:val="hps"/>
          <w:rFonts w:ascii="Times New Roman" w:hAnsi="Times New Roman" w:cs="Times New Roman"/>
          <w:sz w:val="24"/>
          <w:szCs w:val="24"/>
        </w:rPr>
        <w:t>un rôle important dans écoulement des eaux souterraines</w:t>
      </w:r>
      <w:r w:rsidR="00995923" w:rsidRPr="00617E5D">
        <w:rPr>
          <w:rFonts w:ascii="Times New Roman" w:hAnsi="Times New Roman" w:cs="Times New Roman"/>
          <w:sz w:val="24"/>
          <w:szCs w:val="24"/>
        </w:rPr>
        <w:t>.</w:t>
      </w:r>
      <w:r>
        <w:rPr>
          <w:rFonts w:ascii="Times New Roman" w:hAnsi="Times New Roman" w:cs="Times New Roman"/>
          <w:sz w:val="24"/>
          <w:szCs w:val="24"/>
        </w:rPr>
        <w:t xml:space="preserve"> Cette </w:t>
      </w:r>
      <w:r w:rsidRPr="00617E5D">
        <w:rPr>
          <w:rStyle w:val="hps"/>
          <w:rFonts w:ascii="Times New Roman" w:hAnsi="Times New Roman" w:cs="Times New Roman"/>
          <w:sz w:val="24"/>
          <w:szCs w:val="24"/>
        </w:rPr>
        <w:t>différence</w:t>
      </w:r>
      <w:r>
        <w:rPr>
          <w:rStyle w:val="hps"/>
          <w:rFonts w:ascii="Times New Roman" w:hAnsi="Times New Roman" w:cs="Times New Roman"/>
          <w:sz w:val="24"/>
          <w:szCs w:val="24"/>
        </w:rPr>
        <w:t xml:space="preserve"> peut être due </w:t>
      </w:r>
      <w:r w:rsidR="00995923" w:rsidRPr="00617E5D">
        <w:rPr>
          <w:rStyle w:val="hps"/>
          <w:rFonts w:ascii="Times New Roman" w:hAnsi="Times New Roman" w:cs="Times New Roman"/>
          <w:sz w:val="24"/>
          <w:szCs w:val="24"/>
        </w:rPr>
        <w:t>aussi</w:t>
      </w:r>
      <w:r w:rsidR="002F0AC6">
        <w:rPr>
          <w:rStyle w:val="hps"/>
          <w:rFonts w:ascii="Times New Roman" w:hAnsi="Times New Roman" w:cs="Times New Roman"/>
          <w:sz w:val="24"/>
          <w:szCs w:val="24"/>
        </w:rPr>
        <w:t xml:space="preserve"> aux erreurs de la discrétisation de la méthode numérique</w:t>
      </w:r>
    </w:p>
    <w:p w:rsidR="002F0AC6" w:rsidRDefault="002F0AC6" w:rsidP="00B90FC6">
      <w:pPr>
        <w:spacing w:line="360" w:lineRule="auto"/>
        <w:jc w:val="both"/>
        <w:rPr>
          <w:rStyle w:val="hps"/>
          <w:rFonts w:ascii="Times New Roman" w:hAnsi="Times New Roman" w:cs="Times New Roman"/>
          <w:sz w:val="24"/>
          <w:szCs w:val="24"/>
        </w:rPr>
      </w:pPr>
    </w:p>
    <w:p w:rsidR="002F0AC6" w:rsidRDefault="002F0AC6" w:rsidP="00B90FC6">
      <w:pPr>
        <w:spacing w:line="360" w:lineRule="auto"/>
        <w:jc w:val="both"/>
        <w:rPr>
          <w:rStyle w:val="hps"/>
          <w:rFonts w:ascii="Times New Roman" w:hAnsi="Times New Roman" w:cs="Times New Roman"/>
          <w:sz w:val="24"/>
          <w:szCs w:val="24"/>
        </w:rPr>
      </w:pPr>
    </w:p>
    <w:p w:rsidR="002F0AC6" w:rsidRDefault="002F0AC6" w:rsidP="00B90FC6">
      <w:pPr>
        <w:spacing w:line="360" w:lineRule="auto"/>
        <w:jc w:val="both"/>
        <w:rPr>
          <w:rStyle w:val="hps"/>
          <w:rFonts w:ascii="Times New Roman" w:hAnsi="Times New Roman" w:cs="Times New Roman"/>
          <w:sz w:val="24"/>
          <w:szCs w:val="24"/>
        </w:rPr>
      </w:pPr>
    </w:p>
    <w:p w:rsidR="002F0AC6" w:rsidRDefault="002F0AC6" w:rsidP="00B90FC6">
      <w:pPr>
        <w:spacing w:line="360" w:lineRule="auto"/>
        <w:jc w:val="both"/>
        <w:rPr>
          <w:rStyle w:val="hps"/>
          <w:rFonts w:ascii="Times New Roman" w:hAnsi="Times New Roman" w:cs="Times New Roman"/>
          <w:sz w:val="24"/>
          <w:szCs w:val="24"/>
        </w:rPr>
      </w:pPr>
    </w:p>
    <w:p w:rsidR="002F0AC6" w:rsidRPr="002F0AC6" w:rsidRDefault="002F0AC6" w:rsidP="002F0AC6">
      <w:pPr>
        <w:spacing w:before="240"/>
        <w:rPr>
          <w:rFonts w:asciiTheme="majorBidi" w:hAnsiTheme="majorBidi" w:cstheme="majorBidi"/>
          <w:b/>
          <w:bCs/>
          <w:sz w:val="28"/>
          <w:szCs w:val="28"/>
        </w:rPr>
      </w:pPr>
      <w:r w:rsidRPr="002F0AC6">
        <w:rPr>
          <w:rFonts w:ascii="Times New Roman" w:hAnsi="Times New Roman" w:cs="Times New Roman"/>
          <w:b/>
          <w:bCs/>
          <w:sz w:val="28"/>
          <w:szCs w:val="28"/>
        </w:rPr>
        <w:t>V</w:t>
      </w:r>
      <w:r w:rsidRPr="002F0AC6">
        <w:rPr>
          <w:rFonts w:asciiTheme="majorBidi" w:hAnsiTheme="majorBidi" w:cstheme="majorBidi"/>
          <w:b/>
          <w:bCs/>
          <w:sz w:val="28"/>
          <w:szCs w:val="28"/>
        </w:rPr>
        <w:t xml:space="preserve"> .2.Pompage</w:t>
      </w:r>
      <w:r>
        <w:rPr>
          <w:rFonts w:asciiTheme="majorBidi" w:hAnsiTheme="majorBidi" w:cstheme="majorBidi"/>
          <w:b/>
          <w:bCs/>
          <w:sz w:val="28"/>
          <w:szCs w:val="28"/>
        </w:rPr>
        <w:t xml:space="preserve"> à partir d’un puits</w:t>
      </w:r>
      <w:r w:rsidRPr="002F0AC6">
        <w:rPr>
          <w:rFonts w:asciiTheme="majorBidi" w:hAnsiTheme="majorBidi" w:cstheme="majorBidi"/>
          <w:b/>
          <w:bCs/>
          <w:sz w:val="28"/>
          <w:szCs w:val="28"/>
        </w:rPr>
        <w:t> :</w:t>
      </w:r>
    </w:p>
    <w:p w:rsidR="002F0AC6" w:rsidRDefault="002F0AC6" w:rsidP="002F0AC6">
      <w:pPr>
        <w:autoSpaceDE w:val="0"/>
        <w:autoSpaceDN w:val="0"/>
        <w:adjustRightInd w:val="0"/>
        <w:spacing w:after="0" w:line="360" w:lineRule="auto"/>
        <w:jc w:val="both"/>
        <w:rPr>
          <w:rFonts w:ascii="Times New Roman" w:hAnsi="Times New Roman" w:cs="Times New Roman"/>
        </w:rPr>
      </w:pPr>
      <w:r w:rsidRPr="00361368">
        <w:rPr>
          <w:rFonts w:ascii="Times New Roman" w:hAnsi="Times New Roman" w:cs="Times New Roman"/>
          <w:b/>
          <w:bCs/>
          <w:sz w:val="24"/>
          <w:szCs w:val="24"/>
        </w:rPr>
        <w:t>V</w:t>
      </w:r>
      <w:r w:rsidRPr="00361368">
        <w:rPr>
          <w:rFonts w:asciiTheme="majorBidi" w:hAnsiTheme="majorBidi" w:cstheme="majorBidi"/>
          <w:b/>
          <w:bCs/>
          <w:sz w:val="24"/>
          <w:szCs w:val="24"/>
        </w:rPr>
        <w:t xml:space="preserve"> .2.</w:t>
      </w:r>
      <w:r>
        <w:rPr>
          <w:rFonts w:asciiTheme="majorBidi" w:hAnsiTheme="majorBidi" w:cstheme="majorBidi"/>
          <w:b/>
          <w:bCs/>
          <w:sz w:val="24"/>
          <w:szCs w:val="24"/>
        </w:rPr>
        <w:t>1</w:t>
      </w:r>
      <w:r>
        <w:rPr>
          <w:rFonts w:asciiTheme="majorBidi" w:hAnsiTheme="majorBidi" w:cstheme="majorBidi"/>
          <w:b/>
          <w:bCs/>
          <w:sz w:val="28"/>
          <w:szCs w:val="28"/>
        </w:rPr>
        <w:t>.</w:t>
      </w:r>
      <w:r w:rsidRPr="00361368">
        <w:rPr>
          <w:rFonts w:asciiTheme="majorBidi" w:hAnsiTheme="majorBidi" w:cstheme="majorBidi"/>
          <w:b/>
          <w:bCs/>
          <w:sz w:val="24"/>
          <w:szCs w:val="24"/>
        </w:rPr>
        <w:t>1</w:t>
      </w:r>
      <w:r>
        <w:rPr>
          <w:rFonts w:asciiTheme="majorBidi" w:hAnsiTheme="majorBidi" w:cstheme="majorBidi"/>
          <w:b/>
          <w:bCs/>
          <w:sz w:val="28"/>
          <w:szCs w:val="28"/>
        </w:rPr>
        <w:t>.</w:t>
      </w:r>
      <w:r w:rsidRPr="00776DEB">
        <w:rPr>
          <w:rFonts w:asciiTheme="majorBidi" w:hAnsiTheme="majorBidi" w:cstheme="majorBidi"/>
          <w:b/>
          <w:bCs/>
        </w:rPr>
        <w:t>Forage</w:t>
      </w:r>
      <w:r>
        <w:rPr>
          <w:rFonts w:asciiTheme="majorBidi" w:hAnsiTheme="majorBidi" w:cstheme="majorBidi"/>
          <w:b/>
          <w:bCs/>
        </w:rPr>
        <w:t xml:space="preserve"> d’exploitation :</w:t>
      </w:r>
    </w:p>
    <w:p w:rsidR="002F0AC6" w:rsidRDefault="002F0AC6" w:rsidP="002F0AC6">
      <w:pPr>
        <w:autoSpaceDE w:val="0"/>
        <w:autoSpaceDN w:val="0"/>
        <w:adjustRightInd w:val="0"/>
        <w:spacing w:line="360" w:lineRule="auto"/>
        <w:ind w:firstLine="709"/>
        <w:jc w:val="both"/>
        <w:rPr>
          <w:rFonts w:ascii="Times New Roman" w:hAnsi="Times New Roman" w:cs="Times New Roman"/>
        </w:rPr>
      </w:pPr>
      <w:r>
        <w:rPr>
          <w:rFonts w:ascii="Times New Roman" w:hAnsi="Times New Roman" w:cs="Times New Roman"/>
        </w:rPr>
        <w:t>La</w:t>
      </w:r>
      <w:r w:rsidRPr="007A1105">
        <w:rPr>
          <w:rFonts w:ascii="Times New Roman" w:hAnsi="Times New Roman" w:cs="Times New Roman"/>
        </w:rPr>
        <w:t xml:space="preserve"> deuxième</w:t>
      </w:r>
      <w:r>
        <w:rPr>
          <w:rFonts w:ascii="Times New Roman" w:hAnsi="Times New Roman" w:cs="Times New Roman"/>
        </w:rPr>
        <w:t xml:space="preserve"> simulation concerne le pompage dans une nappe. La nappe simulée est constituée d’un domaine parallélépipédique de sable dont trois des faces latérales et la face du fond sont imperméables. </w:t>
      </w:r>
    </w:p>
    <w:p w:rsidR="002F0AC6" w:rsidRPr="00DB7796" w:rsidRDefault="002F0AC6" w:rsidP="002F0AC6">
      <w:pPr>
        <w:autoSpaceDE w:val="0"/>
        <w:autoSpaceDN w:val="0"/>
        <w:adjustRightInd w:val="0"/>
        <w:spacing w:after="0" w:line="360" w:lineRule="auto"/>
        <w:jc w:val="both"/>
        <w:rPr>
          <w:rFonts w:ascii="Times New Roman" w:hAnsi="Times New Roman" w:cs="Times New Roman"/>
          <w:b/>
          <w:bCs/>
          <w:sz w:val="24"/>
          <w:szCs w:val="24"/>
        </w:rPr>
      </w:pPr>
      <w:r w:rsidRPr="00DB7796">
        <w:rPr>
          <w:rFonts w:ascii="Times New Roman" w:hAnsi="Times New Roman" w:cs="Times New Roman"/>
          <w:b/>
          <w:bCs/>
          <w:sz w:val="24"/>
          <w:szCs w:val="24"/>
        </w:rPr>
        <w:t>V</w:t>
      </w:r>
      <w:r>
        <w:rPr>
          <w:rFonts w:asciiTheme="majorBidi" w:hAnsiTheme="majorBidi" w:cstheme="majorBidi"/>
          <w:b/>
          <w:bCs/>
          <w:sz w:val="24"/>
          <w:szCs w:val="24"/>
        </w:rPr>
        <w:t xml:space="preserve"> .2.1.A</w:t>
      </w:r>
      <w:r w:rsidRPr="00DB7796">
        <w:rPr>
          <w:rFonts w:asciiTheme="majorBidi" w:hAnsiTheme="majorBidi" w:cstheme="majorBidi"/>
          <w:b/>
          <w:bCs/>
          <w:sz w:val="24"/>
          <w:szCs w:val="24"/>
        </w:rPr>
        <w:t>.</w:t>
      </w:r>
      <w:r w:rsidRPr="002F0AC6">
        <w:rPr>
          <w:rFonts w:asciiTheme="majorBidi" w:hAnsiTheme="majorBidi" w:cstheme="majorBidi"/>
          <w:b/>
          <w:bCs/>
          <w:sz w:val="28"/>
          <w:szCs w:val="28"/>
        </w:rPr>
        <w:t xml:space="preserve"> </w:t>
      </w:r>
      <w:r w:rsidRPr="002F0AC6">
        <w:rPr>
          <w:rFonts w:asciiTheme="majorBidi" w:hAnsiTheme="majorBidi" w:cstheme="majorBidi"/>
          <w:b/>
          <w:bCs/>
          <w:sz w:val="24"/>
          <w:szCs w:val="24"/>
        </w:rPr>
        <w:t>Pompage</w:t>
      </w:r>
      <w:r>
        <w:rPr>
          <w:rFonts w:ascii="Times New Roman" w:hAnsi="Times New Roman" w:cs="Times New Roman"/>
          <w:b/>
          <w:bCs/>
          <w:sz w:val="24"/>
          <w:szCs w:val="24"/>
        </w:rPr>
        <w:t xml:space="preserve"> par</w:t>
      </w:r>
      <w:r w:rsidRPr="002F0AC6">
        <w:rPr>
          <w:rFonts w:ascii="Times New Roman" w:hAnsi="Times New Roman" w:cs="Times New Roman"/>
          <w:b/>
          <w:bCs/>
          <w:sz w:val="24"/>
          <w:szCs w:val="24"/>
        </w:rPr>
        <w:t xml:space="preserve"> </w:t>
      </w:r>
      <w:r w:rsidRPr="00DB7796">
        <w:rPr>
          <w:rFonts w:ascii="Times New Roman" w:hAnsi="Times New Roman" w:cs="Times New Roman"/>
          <w:b/>
          <w:bCs/>
          <w:sz w:val="24"/>
          <w:szCs w:val="24"/>
        </w:rPr>
        <w:t>puits de petite section:</w:t>
      </w:r>
    </w:p>
    <w:p w:rsidR="002F0AC6" w:rsidRPr="002F0AC6" w:rsidRDefault="002F0AC6" w:rsidP="002F0AC6">
      <w:pPr>
        <w:autoSpaceDE w:val="0"/>
        <w:autoSpaceDN w:val="0"/>
        <w:adjustRightInd w:val="0"/>
        <w:spacing w:after="0" w:line="360" w:lineRule="auto"/>
        <w:jc w:val="both"/>
        <w:rPr>
          <w:rFonts w:ascii="Times New Roman" w:hAnsi="Times New Roman" w:cs="Times New Roman"/>
          <w:sz w:val="24"/>
          <w:szCs w:val="24"/>
          <w:rtl/>
        </w:rPr>
      </w:pPr>
      <w:r w:rsidRPr="002F0AC6">
        <w:rPr>
          <w:rFonts w:ascii="Times New Roman" w:hAnsi="Times New Roman" w:cs="Times New Roman"/>
          <w:sz w:val="24"/>
          <w:szCs w:val="24"/>
        </w:rPr>
        <w:t xml:space="preserve">       Les dimensions choisies sont de 20 m en hauteur, 30 m en largeur et 20 m en longueur. Le puits d’une section circulaire de 40 cm de diamètre est positionné à x = 20 m et y = 10m, et un débit constant de 0,08 m</w:t>
      </w:r>
      <w:r w:rsidRPr="002F0AC6">
        <w:rPr>
          <w:rFonts w:ascii="Times New Roman" w:hAnsi="Times New Roman" w:cs="Times New Roman"/>
          <w:sz w:val="24"/>
          <w:szCs w:val="24"/>
          <w:vertAlign w:val="superscript"/>
        </w:rPr>
        <w:t>3</w:t>
      </w:r>
      <w:r w:rsidRPr="002F0AC6">
        <w:rPr>
          <w:rFonts w:ascii="Times New Roman" w:hAnsi="Times New Roman" w:cs="Times New Roman"/>
          <w:sz w:val="24"/>
          <w:szCs w:val="24"/>
        </w:rPr>
        <w:t xml:space="preserve">/s est imposé. </w:t>
      </w:r>
    </w:p>
    <w:p w:rsidR="002F0AC6" w:rsidRPr="002F0AC6" w:rsidRDefault="002F0AC6" w:rsidP="002F0AC6">
      <w:pPr>
        <w:tabs>
          <w:tab w:val="left" w:pos="2670"/>
        </w:tabs>
        <w:autoSpaceDE w:val="0"/>
        <w:autoSpaceDN w:val="0"/>
        <w:adjustRightInd w:val="0"/>
        <w:spacing w:after="0" w:line="360" w:lineRule="auto"/>
        <w:rPr>
          <w:rFonts w:ascii="Times New Roman" w:hAnsi="Times New Roman" w:cs="Times New Roman"/>
          <w:sz w:val="24"/>
          <w:szCs w:val="24"/>
        </w:rPr>
      </w:pPr>
      <w:r>
        <w:rPr>
          <w:rFonts w:ascii="Times New Roman" w:hAnsi="Times New Roman" w:cs="Times New Roman"/>
          <w:sz w:val="24"/>
          <w:szCs w:val="24"/>
        </w:rPr>
        <w:t>Le t</w:t>
      </w:r>
      <w:r w:rsidRPr="002F0AC6">
        <w:rPr>
          <w:rFonts w:ascii="Times New Roman" w:hAnsi="Times New Roman" w:cs="Times New Roman"/>
          <w:sz w:val="24"/>
          <w:szCs w:val="24"/>
        </w:rPr>
        <w:t>raitement numérique des conditions du forage</w:t>
      </w:r>
      <w:r>
        <w:rPr>
          <w:rFonts w:ascii="Times New Roman" w:hAnsi="Times New Roman" w:cs="Times New Roman"/>
          <w:sz w:val="24"/>
          <w:szCs w:val="24"/>
        </w:rPr>
        <w:t xml:space="preserve"> est donné par :</w:t>
      </w:r>
      <w:r w:rsidRPr="002F0AC6">
        <w:rPr>
          <w:rFonts w:ascii="Times New Roman" w:hAnsi="Times New Roman" w:cs="Times New Roman"/>
          <w:sz w:val="24"/>
          <w:szCs w:val="24"/>
        </w:rPr>
        <w:t xml:space="preserve"> </w:t>
      </w:r>
    </w:p>
    <w:p w:rsidR="002F0AC6" w:rsidRDefault="001F4EA5" w:rsidP="002F0AC6">
      <w:pPr>
        <w:autoSpaceDE w:val="0"/>
        <w:autoSpaceDN w:val="0"/>
        <w:adjustRightInd w:val="0"/>
        <w:spacing w:after="0" w:line="360" w:lineRule="auto"/>
        <w:jc w:val="both"/>
        <w:rPr>
          <w:rFonts w:ascii="Times New Roman" w:eastAsiaTheme="minorEastAsia" w:hAnsi="Times New Roman" w:cs="Times New Roman"/>
          <w:b/>
          <w:bCs/>
          <w:sz w:val="28"/>
          <w:szCs w:val="28"/>
        </w:rPr>
      </w:pPr>
      <m:oMathPara>
        <m:oMath>
          <m:sSub>
            <m:sSubPr>
              <m:ctrlPr>
                <w:rPr>
                  <w:rFonts w:ascii="Cambria Math" w:hAnsi="Cambria Math" w:cs="Times New Roman"/>
                  <w:b/>
                  <w:bCs/>
                  <w:i/>
                  <w:sz w:val="28"/>
                  <w:szCs w:val="28"/>
                </w:rPr>
              </m:ctrlPr>
            </m:sSubPr>
            <m:e>
              <m:r>
                <m:rPr>
                  <m:sty m:val="bi"/>
                </m:rPr>
                <w:rPr>
                  <w:rFonts w:ascii="Cambria Math" w:hAnsi="Cambria Math" w:cs="Times New Roman"/>
                  <w:sz w:val="28"/>
                  <w:szCs w:val="28"/>
                </w:rPr>
                <m:t>q</m:t>
              </m:r>
            </m:e>
            <m:sub>
              <m:r>
                <m:rPr>
                  <m:sty m:val="bi"/>
                </m:rPr>
                <w:rPr>
                  <w:rFonts w:ascii="Cambria Math" w:hAnsi="Cambria Math" w:cs="Times New Roman"/>
                  <w:sz w:val="28"/>
                  <w:szCs w:val="28"/>
                </w:rPr>
                <m:t>n</m:t>
              </m:r>
            </m:sub>
          </m:sSub>
          <m:r>
            <m:rPr>
              <m:sty m:val="bi"/>
            </m:rPr>
            <w:rPr>
              <w:rFonts w:ascii="Cambria Math" w:hAnsi="Cambria Math" w:cs="Times New Roman"/>
              <w:sz w:val="28"/>
              <w:szCs w:val="28"/>
            </w:rPr>
            <m:t>=</m:t>
          </m:r>
          <m:f>
            <m:fPr>
              <m:ctrlPr>
                <w:rPr>
                  <w:rFonts w:ascii="Cambria Math" w:hAnsi="Cambria Math" w:cs="Times New Roman"/>
                  <w:b/>
                  <w:bCs/>
                  <w:i/>
                  <w:sz w:val="28"/>
                  <w:szCs w:val="28"/>
                </w:rPr>
              </m:ctrlPr>
            </m:fPr>
            <m:num>
              <m:r>
                <m:rPr>
                  <m:sty m:val="bi"/>
                </m:rPr>
                <w:rPr>
                  <w:rFonts w:ascii="Cambria Math" w:hAnsi="Cambria Math" w:cs="Times New Roman"/>
                  <w:sz w:val="28"/>
                  <w:szCs w:val="28"/>
                </w:rPr>
                <m:t>-Q</m:t>
              </m:r>
            </m:num>
            <m:den>
              <m:r>
                <m:rPr>
                  <m:sty m:val="bi"/>
                </m:rPr>
                <w:rPr>
                  <w:rFonts w:ascii="Cambria Math" w:hAnsi="Cambria Math" w:cs="Times New Roman"/>
                  <w:sz w:val="28"/>
                  <w:szCs w:val="28"/>
                </w:rPr>
                <m:t>n</m:t>
              </m:r>
            </m:den>
          </m:f>
        </m:oMath>
      </m:oMathPara>
    </w:p>
    <w:p w:rsidR="002F0AC6" w:rsidRPr="00962417" w:rsidRDefault="002F0AC6" w:rsidP="002F0AC6">
      <w:pPr>
        <w:autoSpaceDE w:val="0"/>
        <w:autoSpaceDN w:val="0"/>
        <w:adjustRightInd w:val="0"/>
        <w:spacing w:after="0" w:line="360" w:lineRule="auto"/>
        <w:jc w:val="both"/>
        <w:rPr>
          <w:rFonts w:ascii="Times New Roman" w:hAnsi="Times New Roman" w:cs="Times New Roman"/>
          <w:sz w:val="24"/>
          <w:szCs w:val="24"/>
        </w:rPr>
      </w:pPr>
      <w:r w:rsidRPr="00962417">
        <w:rPr>
          <w:rFonts w:ascii="Times New Roman" w:hAnsi="Times New Roman" w:cs="Times New Roman"/>
          <w:sz w:val="24"/>
          <w:szCs w:val="24"/>
        </w:rPr>
        <w:t>Q : est le débit pompé ; le signe moins signifie que le débit est extrait ;</w:t>
      </w:r>
    </w:p>
    <w:p w:rsidR="002F0AC6" w:rsidRPr="00962417" w:rsidRDefault="002F0AC6" w:rsidP="002F0AC6">
      <w:pPr>
        <w:tabs>
          <w:tab w:val="left" w:pos="2670"/>
        </w:tabs>
        <w:autoSpaceDE w:val="0"/>
        <w:autoSpaceDN w:val="0"/>
        <w:adjustRightInd w:val="0"/>
        <w:spacing w:after="0" w:line="360" w:lineRule="auto"/>
        <w:rPr>
          <w:rFonts w:ascii="Times New Roman" w:hAnsi="Times New Roman" w:cs="Times New Roman"/>
          <w:sz w:val="20"/>
          <w:szCs w:val="20"/>
        </w:rPr>
      </w:pPr>
      <w:r w:rsidRPr="00962417">
        <w:rPr>
          <w:rFonts w:ascii="Times New Roman" w:hAnsi="Times New Roman" w:cs="Times New Roman"/>
          <w:sz w:val="24"/>
          <w:szCs w:val="24"/>
        </w:rPr>
        <w:t>n : est le nombre de nœuds se trouvant sur le mur du forage et au dessous de la surface libre de la nappe.</w:t>
      </w:r>
    </w:p>
    <w:p w:rsidR="002F0AC6" w:rsidRDefault="002F0AC6" w:rsidP="002F0AC6">
      <w:pPr>
        <w:tabs>
          <w:tab w:val="left" w:pos="2670"/>
        </w:tabs>
        <w:autoSpaceDE w:val="0"/>
        <w:autoSpaceDN w:val="0"/>
        <w:adjustRightInd w:val="0"/>
        <w:spacing w:after="0" w:line="360" w:lineRule="auto"/>
        <w:rPr>
          <w:rFonts w:ascii="Times New Roman" w:hAnsi="Times New Roman" w:cs="Times New Roman"/>
        </w:rPr>
      </w:pPr>
      <w:r w:rsidRPr="00593089">
        <w:rPr>
          <w:rFonts w:ascii="Times New Roman" w:hAnsi="Times New Roman" w:cs="Times New Roman"/>
          <w:sz w:val="24"/>
          <w:szCs w:val="24"/>
        </w:rPr>
        <w:t>Dans ce cas, nous considérons le puits comme un point</w:t>
      </w:r>
      <w:r>
        <w:rPr>
          <w:rFonts w:ascii="Times New Roman" w:hAnsi="Times New Roman" w:cs="Times New Roman"/>
        </w:rPr>
        <w:t>. Donc</w:t>
      </w:r>
      <w:r w:rsidRPr="00962417">
        <w:rPr>
          <w:rFonts w:ascii="Times New Roman" w:hAnsi="Times New Roman" w:cs="Times New Roman"/>
          <w:sz w:val="28"/>
          <w:szCs w:val="28"/>
        </w:rPr>
        <w:t xml:space="preserve"> n=1   </w:t>
      </w:r>
      <w:r>
        <w:rPr>
          <w:rFonts w:ascii="Times New Roman" w:hAnsi="Times New Roman" w:cs="Times New Roman"/>
        </w:rPr>
        <w:t xml:space="preserve">et   </w:t>
      </w:r>
      <w:r w:rsidRPr="00962417">
        <w:rPr>
          <w:rFonts w:ascii="Times New Roman" w:hAnsi="Times New Roman" w:cs="Times New Roman"/>
          <w:sz w:val="28"/>
          <w:szCs w:val="28"/>
        </w:rPr>
        <w:t>q</w:t>
      </w:r>
      <w:r w:rsidRPr="00962417">
        <w:rPr>
          <w:rFonts w:ascii="Times New Roman" w:hAnsi="Times New Roman" w:cs="Times New Roman"/>
          <w:sz w:val="28"/>
          <w:szCs w:val="28"/>
          <w:vertAlign w:val="subscript"/>
        </w:rPr>
        <w:t xml:space="preserve">n </w:t>
      </w:r>
      <w:r>
        <w:rPr>
          <w:rFonts w:ascii="Times New Roman" w:hAnsi="Times New Roman" w:cs="Times New Roman"/>
        </w:rPr>
        <w:t>=Q</w:t>
      </w:r>
      <w:r w:rsidRPr="00962417">
        <w:rPr>
          <w:rFonts w:ascii="Times New Roman" w:hAnsi="Times New Roman" w:cs="Times New Roman"/>
          <w:sz w:val="24"/>
          <w:szCs w:val="24"/>
        </w:rPr>
        <w:t>=0.08m</w:t>
      </w:r>
      <w:r w:rsidRPr="00962417">
        <w:rPr>
          <w:rFonts w:ascii="Times New Roman" w:hAnsi="Times New Roman" w:cs="Times New Roman"/>
          <w:sz w:val="24"/>
          <w:szCs w:val="24"/>
          <w:vertAlign w:val="superscript"/>
        </w:rPr>
        <w:t>3</w:t>
      </w:r>
      <w:r w:rsidRPr="00962417">
        <w:rPr>
          <w:rFonts w:ascii="Times New Roman" w:hAnsi="Times New Roman" w:cs="Times New Roman"/>
          <w:sz w:val="24"/>
          <w:szCs w:val="24"/>
        </w:rPr>
        <w:t>/s</w:t>
      </w:r>
    </w:p>
    <w:p w:rsidR="002F0AC6" w:rsidRPr="00341E6D" w:rsidRDefault="002F0AC6" w:rsidP="002F0AC6">
      <w:pPr>
        <w:pStyle w:val="Paragraphedeliste"/>
        <w:spacing w:line="240" w:lineRule="auto"/>
        <w:ind w:left="405"/>
        <w:jc w:val="center"/>
        <w:rPr>
          <w:rFonts w:asciiTheme="majorBidi" w:hAnsiTheme="majorBidi" w:cstheme="majorBidi"/>
          <w:b/>
          <w:bCs/>
          <w:lang w:val="en-US"/>
        </w:rPr>
      </w:pPr>
      <w:r>
        <w:rPr>
          <w:rFonts w:asciiTheme="majorBidi" w:hAnsiTheme="majorBidi" w:cstheme="majorBidi"/>
          <w:b/>
          <w:bCs/>
          <w:noProof/>
          <w:lang w:eastAsia="fr-FR"/>
        </w:rPr>
        <w:drawing>
          <wp:inline distT="0" distB="0" distL="0" distR="0">
            <wp:extent cx="5800725" cy="3312000"/>
            <wp:effectExtent l="19050" t="0" r="9525" b="0"/>
            <wp:docPr id="7" name="صورة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tretch>
                      <a:fillRect/>
                    </a:stretch>
                  </pic:blipFill>
                  <pic:spPr bwMode="auto">
                    <a:xfrm>
                      <a:off x="0" y="0"/>
                      <a:ext cx="5800725" cy="3312000"/>
                    </a:xfrm>
                    <a:prstGeom prst="rect">
                      <a:avLst/>
                    </a:prstGeom>
                    <a:noFill/>
                    <a:ln w="9525">
                      <a:noFill/>
                      <a:miter lim="800000"/>
                      <a:headEnd/>
                      <a:tailEnd/>
                    </a:ln>
                  </pic:spPr>
                </pic:pic>
              </a:graphicData>
            </a:graphic>
          </wp:inline>
        </w:drawing>
      </w:r>
    </w:p>
    <w:p w:rsidR="002F0AC6" w:rsidRPr="00564CD9" w:rsidRDefault="002F0AC6" w:rsidP="002F0AC6">
      <w:pPr>
        <w:pStyle w:val="Paragraphedeliste"/>
        <w:spacing w:line="240" w:lineRule="auto"/>
        <w:ind w:left="405"/>
        <w:jc w:val="center"/>
        <w:rPr>
          <w:rFonts w:asciiTheme="majorBidi" w:hAnsiTheme="majorBidi" w:cstheme="majorBidi"/>
          <w:b/>
          <w:bCs/>
          <w:sz w:val="24"/>
          <w:szCs w:val="24"/>
        </w:rPr>
      </w:pPr>
      <w:r w:rsidRPr="00C55D3E">
        <w:rPr>
          <w:rFonts w:asciiTheme="majorBidi" w:hAnsiTheme="majorBidi" w:cstheme="majorBidi"/>
          <w:b/>
          <w:bCs/>
        </w:rPr>
        <w:t>Figure</w:t>
      </w:r>
      <w:r w:rsidRPr="00C55D3E">
        <w:rPr>
          <w:rFonts w:ascii="Times New Roman" w:hAnsi="Times New Roman" w:cs="Times New Roman"/>
          <w:b/>
          <w:bCs/>
        </w:rPr>
        <w:t xml:space="preserve"> V</w:t>
      </w:r>
      <w:r w:rsidRPr="00C55D3E">
        <w:rPr>
          <w:rFonts w:asciiTheme="majorBidi" w:hAnsiTheme="majorBidi" w:cstheme="majorBidi"/>
          <w:b/>
          <w:bCs/>
        </w:rPr>
        <w:t xml:space="preserve"> </w:t>
      </w:r>
      <w:r w:rsidR="00EC7EB0">
        <w:rPr>
          <w:rFonts w:asciiTheme="majorBidi" w:hAnsiTheme="majorBidi" w:cstheme="majorBidi"/>
          <w:b/>
          <w:bCs/>
        </w:rPr>
        <w:t>.4</w:t>
      </w:r>
      <w:r w:rsidRPr="00C55D3E">
        <w:rPr>
          <w:rFonts w:asciiTheme="majorBidi" w:hAnsiTheme="majorBidi" w:cstheme="majorBidi"/>
          <w:b/>
          <w:bCs/>
        </w:rPr>
        <w:t>:</w:t>
      </w:r>
      <w:r w:rsidRPr="00D7106B">
        <w:rPr>
          <w:rFonts w:asciiTheme="majorBidi" w:hAnsiTheme="majorBidi" w:cstheme="majorBidi"/>
          <w:sz w:val="24"/>
          <w:szCs w:val="24"/>
        </w:rPr>
        <w:t>: Représentation schématique d'un aquifère avec puits de pompage.</w:t>
      </w:r>
    </w:p>
    <w:p w:rsidR="00371892" w:rsidRDefault="00371892" w:rsidP="002F0AC6">
      <w:pPr>
        <w:autoSpaceDE w:val="0"/>
        <w:autoSpaceDN w:val="0"/>
        <w:adjustRightInd w:val="0"/>
        <w:spacing w:after="0" w:line="360" w:lineRule="auto"/>
        <w:jc w:val="both"/>
        <w:rPr>
          <w:rFonts w:asciiTheme="majorBidi" w:hAnsiTheme="majorBidi" w:cstheme="majorBidi"/>
          <w:sz w:val="24"/>
          <w:szCs w:val="24"/>
        </w:rPr>
      </w:pPr>
    </w:p>
    <w:p w:rsidR="002F0AC6" w:rsidRDefault="002F0AC6" w:rsidP="002F0AC6">
      <w:pPr>
        <w:autoSpaceDE w:val="0"/>
        <w:autoSpaceDN w:val="0"/>
        <w:adjustRightInd w:val="0"/>
        <w:spacing w:after="0" w:line="360" w:lineRule="auto"/>
        <w:jc w:val="both"/>
        <w:rPr>
          <w:rFonts w:ascii="Times New Roman" w:hAnsi="Times New Roman" w:cs="Times New Roman"/>
        </w:rPr>
      </w:pPr>
      <w:r w:rsidRPr="009857BA">
        <w:rPr>
          <w:rFonts w:asciiTheme="majorBidi" w:hAnsiTheme="majorBidi" w:cstheme="majorBidi"/>
          <w:sz w:val="24"/>
          <w:szCs w:val="24"/>
        </w:rPr>
        <w:t>L'aquif</w:t>
      </w:r>
      <w:r>
        <w:rPr>
          <w:rFonts w:asciiTheme="majorBidi" w:hAnsiTheme="majorBidi" w:cstheme="majorBidi"/>
          <w:sz w:val="24"/>
          <w:szCs w:val="24"/>
        </w:rPr>
        <w:t>ère considère est représenté en plan sur les f</w:t>
      </w:r>
      <w:r w:rsidRPr="009857BA">
        <w:rPr>
          <w:rFonts w:asciiTheme="majorBidi" w:hAnsiTheme="majorBidi" w:cstheme="majorBidi"/>
          <w:sz w:val="24"/>
          <w:szCs w:val="24"/>
        </w:rPr>
        <w:t>igure</w:t>
      </w:r>
      <w:r>
        <w:rPr>
          <w:rFonts w:asciiTheme="majorBidi" w:hAnsiTheme="majorBidi" w:cstheme="majorBidi"/>
          <w:sz w:val="24"/>
          <w:szCs w:val="24"/>
        </w:rPr>
        <w:t xml:space="preserve"> ci-dessus:</w:t>
      </w:r>
    </w:p>
    <w:p w:rsidR="002F0AC6" w:rsidRDefault="002F0AC6" w:rsidP="002F0AC6">
      <w:pPr>
        <w:autoSpaceDE w:val="0"/>
        <w:autoSpaceDN w:val="0"/>
        <w:adjustRightInd w:val="0"/>
        <w:spacing w:after="0" w:line="360" w:lineRule="auto"/>
        <w:jc w:val="both"/>
        <w:rPr>
          <w:rFonts w:ascii="Times New Roman" w:hAnsi="Times New Roman" w:cs="Times New Roman"/>
        </w:rPr>
      </w:pPr>
      <w:r w:rsidRPr="0066333C">
        <w:rPr>
          <w:rFonts w:ascii="Times New Roman" w:hAnsi="Times New Roman" w:cs="Times New Roman"/>
        </w:rPr>
        <w:lastRenderedPageBreak/>
        <w:t xml:space="preserve"> </w:t>
      </w:r>
      <w:r>
        <w:rPr>
          <w:rFonts w:ascii="Times New Roman" w:hAnsi="Times New Roman" w:cs="Times New Roman"/>
        </w:rPr>
        <w:t xml:space="preserve">    </w:t>
      </w:r>
      <w:r w:rsidRPr="00401354">
        <w:rPr>
          <w:rFonts w:ascii="Times New Roman" w:hAnsi="Times New Roman" w:cs="Times New Roman"/>
          <w:noProof/>
          <w:lang w:eastAsia="fr-FR"/>
        </w:rPr>
        <w:drawing>
          <wp:inline distT="0" distB="0" distL="0" distR="0">
            <wp:extent cx="5295900" cy="2266950"/>
            <wp:effectExtent l="19050" t="0" r="0" b="0"/>
            <wp:docPr id="15" name="كائن 3"/>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6361579" cy="2752725"/>
                      <a:chOff x="785786" y="2071678"/>
                      <a:chExt cx="6361579" cy="2752725"/>
                    </a:xfrm>
                  </a:grpSpPr>
                  <a:pic>
                    <a:nvPicPr>
                      <a:cNvPr id="1026" name="Picture 2"/>
                      <a:cNvPicPr>
                        <a:picLocks noChangeAspect="1" noChangeArrowheads="1"/>
                      </a:cNvPicPr>
                    </a:nvPicPr>
                    <a:blipFill>
                      <a:blip r:embed="rId12"/>
                      <a:srcRect/>
                      <a:stretch>
                        <a:fillRect/>
                      </a:stretch>
                    </a:blipFill>
                    <a:spPr bwMode="auto">
                      <a:xfrm>
                        <a:off x="2005013" y="2071678"/>
                        <a:ext cx="5133975" cy="2752725"/>
                      </a:xfrm>
                      <a:prstGeom prst="rect">
                        <a:avLst/>
                      </a:prstGeom>
                      <a:noFill/>
                      <a:ln w="9525">
                        <a:noFill/>
                        <a:miter lim="800000"/>
                        <a:headEnd/>
                        <a:tailEnd/>
                      </a:ln>
                      <a:effectLst/>
                    </a:spPr>
                  </a:pic>
                  <a:sp>
                    <a:nvSpPr>
                      <a:cNvPr id="3" name="شكل بيضاوي 2"/>
                      <a:cNvSpPr/>
                    </a:nvSpPr>
                    <a:spPr>
                      <a:xfrm>
                        <a:off x="5357818" y="3357562"/>
                        <a:ext cx="142876" cy="142876"/>
                      </a:xfrm>
                      <a:prstGeom prst="ellipse">
                        <a:avLst/>
                      </a:prstGeom>
                    </a:spPr>
                    <a:txSp>
                      <a:txBody>
                        <a:bodyPr rtlCol="1" anchor="ctr"/>
                        <a:lstStyle>
                          <a:defPPr>
                            <a:defRPr lang="ar-SA"/>
                          </a:defPPr>
                          <a:lvl1pPr marL="0" algn="r" defTabSz="914400" rtl="1" eaLnBrk="1" latinLnBrk="0" hangingPunct="1">
                            <a:defRPr sz="1800" kern="1200">
                              <a:solidFill>
                                <a:schemeClr val="dk1"/>
                              </a:solidFill>
                              <a:latin typeface="+mn-lt"/>
                              <a:ea typeface="+mn-ea"/>
                              <a:cs typeface="+mn-cs"/>
                            </a:defRPr>
                          </a:lvl1pPr>
                          <a:lvl2pPr marL="457200" algn="r" defTabSz="914400" rtl="1" eaLnBrk="1" latinLnBrk="0" hangingPunct="1">
                            <a:defRPr sz="1800" kern="1200">
                              <a:solidFill>
                                <a:schemeClr val="dk1"/>
                              </a:solidFill>
                              <a:latin typeface="+mn-lt"/>
                              <a:ea typeface="+mn-ea"/>
                              <a:cs typeface="+mn-cs"/>
                            </a:defRPr>
                          </a:lvl2pPr>
                          <a:lvl3pPr marL="914400" algn="r" defTabSz="914400" rtl="1" eaLnBrk="1" latinLnBrk="0" hangingPunct="1">
                            <a:defRPr sz="1800" kern="1200">
                              <a:solidFill>
                                <a:schemeClr val="dk1"/>
                              </a:solidFill>
                              <a:latin typeface="+mn-lt"/>
                              <a:ea typeface="+mn-ea"/>
                              <a:cs typeface="+mn-cs"/>
                            </a:defRPr>
                          </a:lvl3pPr>
                          <a:lvl4pPr marL="1371600" algn="r" defTabSz="914400" rtl="1" eaLnBrk="1" latinLnBrk="0" hangingPunct="1">
                            <a:defRPr sz="1800" kern="1200">
                              <a:solidFill>
                                <a:schemeClr val="dk1"/>
                              </a:solidFill>
                              <a:latin typeface="+mn-lt"/>
                              <a:ea typeface="+mn-ea"/>
                              <a:cs typeface="+mn-cs"/>
                            </a:defRPr>
                          </a:lvl4pPr>
                          <a:lvl5pPr marL="1828800" algn="r" defTabSz="914400" rtl="1" eaLnBrk="1" latinLnBrk="0" hangingPunct="1">
                            <a:defRPr sz="1800" kern="1200">
                              <a:solidFill>
                                <a:schemeClr val="dk1"/>
                              </a:solidFill>
                              <a:latin typeface="+mn-lt"/>
                              <a:ea typeface="+mn-ea"/>
                              <a:cs typeface="+mn-cs"/>
                            </a:defRPr>
                          </a:lvl5pPr>
                          <a:lvl6pPr marL="2286000" algn="r" defTabSz="914400" rtl="1" eaLnBrk="1" latinLnBrk="0" hangingPunct="1">
                            <a:defRPr sz="1800" kern="1200">
                              <a:solidFill>
                                <a:schemeClr val="dk1"/>
                              </a:solidFill>
                              <a:latin typeface="+mn-lt"/>
                              <a:ea typeface="+mn-ea"/>
                              <a:cs typeface="+mn-cs"/>
                            </a:defRPr>
                          </a:lvl6pPr>
                          <a:lvl7pPr marL="2743200" algn="r" defTabSz="914400" rtl="1" eaLnBrk="1" latinLnBrk="0" hangingPunct="1">
                            <a:defRPr sz="1800" kern="1200">
                              <a:solidFill>
                                <a:schemeClr val="dk1"/>
                              </a:solidFill>
                              <a:latin typeface="+mn-lt"/>
                              <a:ea typeface="+mn-ea"/>
                              <a:cs typeface="+mn-cs"/>
                            </a:defRPr>
                          </a:lvl7pPr>
                          <a:lvl8pPr marL="3200400" algn="r" defTabSz="914400" rtl="1" eaLnBrk="1" latinLnBrk="0" hangingPunct="1">
                            <a:defRPr sz="1800" kern="1200">
                              <a:solidFill>
                                <a:schemeClr val="dk1"/>
                              </a:solidFill>
                              <a:latin typeface="+mn-lt"/>
                              <a:ea typeface="+mn-ea"/>
                              <a:cs typeface="+mn-cs"/>
                            </a:defRPr>
                          </a:lvl8pPr>
                          <a:lvl9pPr marL="3657600" algn="r" defTabSz="914400" rtl="1" eaLnBrk="1" latinLnBrk="0" hangingPunct="1">
                            <a:defRPr sz="1800" kern="1200">
                              <a:solidFill>
                                <a:schemeClr val="dk1"/>
                              </a:solidFill>
                              <a:latin typeface="+mn-lt"/>
                              <a:ea typeface="+mn-ea"/>
                              <a:cs typeface="+mn-cs"/>
                            </a:defRPr>
                          </a:lvl9pPr>
                        </a:lstStyle>
                        <a:p>
                          <a:pPr algn="ctr"/>
                          <a:endParaRPr lang="ar-SA"/>
                        </a:p>
                      </a:txBody>
                      <a:useSpRect/>
                    </a:txSp>
                    <a:style>
                      <a:lnRef idx="2">
                        <a:schemeClr val="dk1"/>
                      </a:lnRef>
                      <a:fillRef idx="1">
                        <a:schemeClr val="lt1"/>
                      </a:fillRef>
                      <a:effectRef idx="0">
                        <a:schemeClr val="dk1"/>
                      </a:effectRef>
                      <a:fontRef idx="minor">
                        <a:schemeClr val="dk1"/>
                      </a:fontRef>
                    </a:style>
                  </a:sp>
                  <a:cxnSp>
                    <a:nvCxnSpPr>
                      <a:cNvPr id="4" name="رابط منحني 3"/>
                      <a:cNvCxnSpPr/>
                    </a:nvCxnSpPr>
                    <a:spPr>
                      <a:xfrm rot="10800000">
                        <a:off x="4714876" y="2928934"/>
                        <a:ext cx="714380" cy="500066"/>
                      </a:xfrm>
                      <a:prstGeom prst="curvedConnector3">
                        <a:avLst>
                          <a:gd name="adj1" fmla="val 16000"/>
                        </a:avLst>
                      </a:prstGeom>
                      <a:ln>
                        <a:tailEnd type="arrow"/>
                      </a:ln>
                    </a:spPr>
                    <a:style>
                      <a:lnRef idx="2">
                        <a:schemeClr val="dk1"/>
                      </a:lnRef>
                      <a:fillRef idx="0">
                        <a:schemeClr val="dk1"/>
                      </a:fillRef>
                      <a:effectRef idx="1">
                        <a:schemeClr val="dk1"/>
                      </a:effectRef>
                      <a:fontRef idx="minor">
                        <a:schemeClr val="tx1"/>
                      </a:fontRef>
                    </a:style>
                  </a:cxnSp>
                  <a:sp>
                    <a:nvSpPr>
                      <a:cNvPr id="5" name="Text Box 11"/>
                      <a:cNvSpPr txBox="1">
                        <a:spLocks noChangeArrowheads="1"/>
                      </a:cNvSpPr>
                    </a:nvSpPr>
                    <a:spPr bwMode="auto">
                      <a:xfrm>
                        <a:off x="3657604" y="2500306"/>
                        <a:ext cx="1485900" cy="850911"/>
                      </a:xfrm>
                      <a:prstGeom prst="rect">
                        <a:avLst/>
                      </a:prstGeom>
                      <a:noFill/>
                      <a:ln w="9525">
                        <a:noFill/>
                        <a:miter lim="800000"/>
                        <a:headEnd/>
                        <a:tailEnd/>
                      </a:ln>
                    </a:spPr>
                    <a:txSp>
                      <a:txBody>
                        <a:bodyPr/>
                        <a:lstStyle>
                          <a:defPPr>
                            <a:defRPr lang="ar-SA"/>
                          </a:defPPr>
                          <a:lvl1pPr marL="0" algn="r" defTabSz="914400" rtl="1" eaLnBrk="1" latinLnBrk="0" hangingPunct="1">
                            <a:defRPr sz="1800" kern="1200">
                              <a:solidFill>
                                <a:schemeClr val="tx1"/>
                              </a:solidFill>
                              <a:latin typeface="+mn-lt"/>
                              <a:ea typeface="+mn-ea"/>
                              <a:cs typeface="+mn-cs"/>
                            </a:defRPr>
                          </a:lvl1pPr>
                          <a:lvl2pPr marL="457200" algn="r" defTabSz="914400" rtl="1" eaLnBrk="1" latinLnBrk="0" hangingPunct="1">
                            <a:defRPr sz="1800" kern="1200">
                              <a:solidFill>
                                <a:schemeClr val="tx1"/>
                              </a:solidFill>
                              <a:latin typeface="+mn-lt"/>
                              <a:ea typeface="+mn-ea"/>
                              <a:cs typeface="+mn-cs"/>
                            </a:defRPr>
                          </a:lvl2pPr>
                          <a:lvl3pPr marL="914400" algn="r" defTabSz="914400" rtl="1" eaLnBrk="1" latinLnBrk="0" hangingPunct="1">
                            <a:defRPr sz="1800" kern="1200">
                              <a:solidFill>
                                <a:schemeClr val="tx1"/>
                              </a:solidFill>
                              <a:latin typeface="+mn-lt"/>
                              <a:ea typeface="+mn-ea"/>
                              <a:cs typeface="+mn-cs"/>
                            </a:defRPr>
                          </a:lvl3pPr>
                          <a:lvl4pPr marL="1371600" algn="r" defTabSz="914400" rtl="1" eaLnBrk="1" latinLnBrk="0" hangingPunct="1">
                            <a:defRPr sz="1800" kern="1200">
                              <a:solidFill>
                                <a:schemeClr val="tx1"/>
                              </a:solidFill>
                              <a:latin typeface="+mn-lt"/>
                              <a:ea typeface="+mn-ea"/>
                              <a:cs typeface="+mn-cs"/>
                            </a:defRPr>
                          </a:lvl4pPr>
                          <a:lvl5pPr marL="1828800" algn="r" defTabSz="914400" rtl="1" eaLnBrk="1" latinLnBrk="0" hangingPunct="1">
                            <a:defRPr sz="1800" kern="1200">
                              <a:solidFill>
                                <a:schemeClr val="tx1"/>
                              </a:solidFill>
                              <a:latin typeface="+mn-lt"/>
                              <a:ea typeface="+mn-ea"/>
                              <a:cs typeface="+mn-cs"/>
                            </a:defRPr>
                          </a:lvl5pPr>
                          <a:lvl6pPr marL="2286000" algn="r" defTabSz="914400" rtl="1" eaLnBrk="1" latinLnBrk="0" hangingPunct="1">
                            <a:defRPr sz="1800" kern="1200">
                              <a:solidFill>
                                <a:schemeClr val="tx1"/>
                              </a:solidFill>
                              <a:latin typeface="+mn-lt"/>
                              <a:ea typeface="+mn-ea"/>
                              <a:cs typeface="+mn-cs"/>
                            </a:defRPr>
                          </a:lvl6pPr>
                          <a:lvl7pPr marL="2743200" algn="r" defTabSz="914400" rtl="1" eaLnBrk="1" latinLnBrk="0" hangingPunct="1">
                            <a:defRPr sz="1800" kern="1200">
                              <a:solidFill>
                                <a:schemeClr val="tx1"/>
                              </a:solidFill>
                              <a:latin typeface="+mn-lt"/>
                              <a:ea typeface="+mn-ea"/>
                              <a:cs typeface="+mn-cs"/>
                            </a:defRPr>
                          </a:lvl7pPr>
                          <a:lvl8pPr marL="3200400" algn="r" defTabSz="914400" rtl="1" eaLnBrk="1" latinLnBrk="0" hangingPunct="1">
                            <a:defRPr sz="1800" kern="1200">
                              <a:solidFill>
                                <a:schemeClr val="tx1"/>
                              </a:solidFill>
                              <a:latin typeface="+mn-lt"/>
                              <a:ea typeface="+mn-ea"/>
                              <a:cs typeface="+mn-cs"/>
                            </a:defRPr>
                          </a:lvl8pPr>
                          <a:lvl9pPr marL="3657600" algn="r" defTabSz="914400" rtl="1" eaLnBrk="1" latinLnBrk="0" hangingPunct="1">
                            <a:defRPr sz="1800" kern="1200">
                              <a:solidFill>
                                <a:schemeClr val="tx1"/>
                              </a:solidFill>
                              <a:latin typeface="+mn-lt"/>
                              <a:ea typeface="+mn-ea"/>
                              <a:cs typeface="+mn-cs"/>
                            </a:defRPr>
                          </a:lvl9pPr>
                        </a:lstStyle>
                        <a:p>
                          <a:pPr algn="l"/>
                          <a:r>
                            <a:rPr lang="fr-FR" sz="1600" b="1" dirty="0"/>
                            <a:t>Q  même </a:t>
                          </a:r>
                          <a:r>
                            <a:rPr lang="fr-FR" sz="1600" b="1" dirty="0" smtClean="0"/>
                            <a:t>débit          </a:t>
                          </a:r>
                        </a:p>
                      </a:txBody>
                      <a:useSpRect/>
                    </a:txSp>
                  </a:sp>
                  <a:sp>
                    <a:nvSpPr>
                      <a:cNvPr id="6" name="مستطيل 5"/>
                      <a:cNvSpPr/>
                    </a:nvSpPr>
                    <a:spPr>
                      <a:xfrm>
                        <a:off x="3643306" y="2714620"/>
                        <a:ext cx="907107" cy="369332"/>
                      </a:xfrm>
                      <a:prstGeom prst="rect">
                        <a:avLst/>
                      </a:prstGeom>
                    </a:spPr>
                    <a:txSp>
                      <a:txBody>
                        <a:bodyPr wrap="none">
                          <a:spAutoFit/>
                        </a:bodyPr>
                        <a:lstStyle>
                          <a:defPPr>
                            <a:defRPr lang="ar-SA"/>
                          </a:defPPr>
                          <a:lvl1pPr marL="0" algn="r" defTabSz="914400" rtl="1" eaLnBrk="1" latinLnBrk="0" hangingPunct="1">
                            <a:defRPr sz="1800" kern="1200">
                              <a:solidFill>
                                <a:schemeClr val="tx1"/>
                              </a:solidFill>
                              <a:latin typeface="+mn-lt"/>
                              <a:ea typeface="+mn-ea"/>
                              <a:cs typeface="+mn-cs"/>
                            </a:defRPr>
                          </a:lvl1pPr>
                          <a:lvl2pPr marL="457200" algn="r" defTabSz="914400" rtl="1" eaLnBrk="1" latinLnBrk="0" hangingPunct="1">
                            <a:defRPr sz="1800" kern="1200">
                              <a:solidFill>
                                <a:schemeClr val="tx1"/>
                              </a:solidFill>
                              <a:latin typeface="+mn-lt"/>
                              <a:ea typeface="+mn-ea"/>
                              <a:cs typeface="+mn-cs"/>
                            </a:defRPr>
                          </a:lvl2pPr>
                          <a:lvl3pPr marL="914400" algn="r" defTabSz="914400" rtl="1" eaLnBrk="1" latinLnBrk="0" hangingPunct="1">
                            <a:defRPr sz="1800" kern="1200">
                              <a:solidFill>
                                <a:schemeClr val="tx1"/>
                              </a:solidFill>
                              <a:latin typeface="+mn-lt"/>
                              <a:ea typeface="+mn-ea"/>
                              <a:cs typeface="+mn-cs"/>
                            </a:defRPr>
                          </a:lvl3pPr>
                          <a:lvl4pPr marL="1371600" algn="r" defTabSz="914400" rtl="1" eaLnBrk="1" latinLnBrk="0" hangingPunct="1">
                            <a:defRPr sz="1800" kern="1200">
                              <a:solidFill>
                                <a:schemeClr val="tx1"/>
                              </a:solidFill>
                              <a:latin typeface="+mn-lt"/>
                              <a:ea typeface="+mn-ea"/>
                              <a:cs typeface="+mn-cs"/>
                            </a:defRPr>
                          </a:lvl4pPr>
                          <a:lvl5pPr marL="1828800" algn="r" defTabSz="914400" rtl="1" eaLnBrk="1" latinLnBrk="0" hangingPunct="1">
                            <a:defRPr sz="1800" kern="1200">
                              <a:solidFill>
                                <a:schemeClr val="tx1"/>
                              </a:solidFill>
                              <a:latin typeface="+mn-lt"/>
                              <a:ea typeface="+mn-ea"/>
                              <a:cs typeface="+mn-cs"/>
                            </a:defRPr>
                          </a:lvl5pPr>
                          <a:lvl6pPr marL="2286000" algn="r" defTabSz="914400" rtl="1" eaLnBrk="1" latinLnBrk="0" hangingPunct="1">
                            <a:defRPr sz="1800" kern="1200">
                              <a:solidFill>
                                <a:schemeClr val="tx1"/>
                              </a:solidFill>
                              <a:latin typeface="+mn-lt"/>
                              <a:ea typeface="+mn-ea"/>
                              <a:cs typeface="+mn-cs"/>
                            </a:defRPr>
                          </a:lvl6pPr>
                          <a:lvl7pPr marL="2743200" algn="r" defTabSz="914400" rtl="1" eaLnBrk="1" latinLnBrk="0" hangingPunct="1">
                            <a:defRPr sz="1800" kern="1200">
                              <a:solidFill>
                                <a:schemeClr val="tx1"/>
                              </a:solidFill>
                              <a:latin typeface="+mn-lt"/>
                              <a:ea typeface="+mn-ea"/>
                              <a:cs typeface="+mn-cs"/>
                            </a:defRPr>
                          </a:lvl7pPr>
                          <a:lvl8pPr marL="3200400" algn="r" defTabSz="914400" rtl="1" eaLnBrk="1" latinLnBrk="0" hangingPunct="1">
                            <a:defRPr sz="1800" kern="1200">
                              <a:solidFill>
                                <a:schemeClr val="tx1"/>
                              </a:solidFill>
                              <a:latin typeface="+mn-lt"/>
                              <a:ea typeface="+mn-ea"/>
                              <a:cs typeface="+mn-cs"/>
                            </a:defRPr>
                          </a:lvl8pPr>
                          <a:lvl9pPr marL="3657600" algn="r" defTabSz="914400" rtl="1" eaLnBrk="1" latinLnBrk="0" hangingPunct="1">
                            <a:defRPr sz="1800" kern="1200">
                              <a:solidFill>
                                <a:schemeClr val="tx1"/>
                              </a:solidFill>
                              <a:latin typeface="+mn-lt"/>
                              <a:ea typeface="+mn-ea"/>
                              <a:cs typeface="+mn-cs"/>
                            </a:defRPr>
                          </a:lvl9pPr>
                        </a:lstStyle>
                        <a:p>
                          <a:r>
                            <a:rPr lang="fr-FR" b="1" dirty="0" smtClean="0"/>
                            <a:t> Pompé</a:t>
                          </a:r>
                          <a:endParaRPr lang="ar-SA" dirty="0"/>
                        </a:p>
                      </a:txBody>
                      <a:useSpRect/>
                    </a:txSp>
                  </a:sp>
                  <a:pic>
                    <a:nvPicPr>
                      <a:cNvPr id="1027" name="Picture 3"/>
                      <a:cNvPicPr>
                        <a:picLocks noChangeAspect="1" noChangeArrowheads="1"/>
                      </a:cNvPicPr>
                    </a:nvPicPr>
                    <a:blipFill>
                      <a:blip r:embed="rId13">
                        <a:lum contrast="10000"/>
                      </a:blip>
                      <a:srcRect/>
                      <a:stretch>
                        <a:fillRect/>
                      </a:stretch>
                    </a:blipFill>
                    <a:spPr bwMode="auto">
                      <a:xfrm>
                        <a:off x="785786" y="3043239"/>
                        <a:ext cx="1038225" cy="600075"/>
                      </a:xfrm>
                      <a:prstGeom prst="rect">
                        <a:avLst/>
                      </a:prstGeom>
                      <a:noFill/>
                      <a:ln w="9525">
                        <a:noFill/>
                        <a:miter lim="800000"/>
                        <a:headEnd/>
                        <a:tailEnd/>
                      </a:ln>
                      <a:effectLst/>
                    </a:spPr>
                  </a:pic>
                  <a:sp>
                    <a:nvSpPr>
                      <a:cNvPr id="9" name="شكل بيضاوي 8"/>
                      <a:cNvSpPr/>
                    </a:nvSpPr>
                    <a:spPr>
                      <a:xfrm>
                        <a:off x="3714744" y="3429000"/>
                        <a:ext cx="45719" cy="71438"/>
                      </a:xfrm>
                      <a:prstGeom prst="ellipse">
                        <a:avLst/>
                      </a:prstGeom>
                    </a:spPr>
                    <a:txSp>
                      <a:txBody>
                        <a:bodyPr rtlCol="1" anchor="ctr"/>
                        <a:lstStyle>
                          <a:defPPr>
                            <a:defRPr lang="ar-SA"/>
                          </a:defPPr>
                          <a:lvl1pPr marL="0" algn="r" defTabSz="914400" rtl="1" eaLnBrk="1" latinLnBrk="0" hangingPunct="1">
                            <a:defRPr sz="1800" kern="1200">
                              <a:solidFill>
                                <a:schemeClr val="lt1"/>
                              </a:solidFill>
                              <a:latin typeface="+mn-lt"/>
                              <a:ea typeface="+mn-ea"/>
                              <a:cs typeface="+mn-cs"/>
                            </a:defRPr>
                          </a:lvl1pPr>
                          <a:lvl2pPr marL="457200" algn="r" defTabSz="914400" rtl="1" eaLnBrk="1" latinLnBrk="0" hangingPunct="1">
                            <a:defRPr sz="1800" kern="1200">
                              <a:solidFill>
                                <a:schemeClr val="lt1"/>
                              </a:solidFill>
                              <a:latin typeface="+mn-lt"/>
                              <a:ea typeface="+mn-ea"/>
                              <a:cs typeface="+mn-cs"/>
                            </a:defRPr>
                          </a:lvl2pPr>
                          <a:lvl3pPr marL="914400" algn="r" defTabSz="914400" rtl="1" eaLnBrk="1" latinLnBrk="0" hangingPunct="1">
                            <a:defRPr sz="1800" kern="1200">
                              <a:solidFill>
                                <a:schemeClr val="lt1"/>
                              </a:solidFill>
                              <a:latin typeface="+mn-lt"/>
                              <a:ea typeface="+mn-ea"/>
                              <a:cs typeface="+mn-cs"/>
                            </a:defRPr>
                          </a:lvl3pPr>
                          <a:lvl4pPr marL="1371600" algn="r" defTabSz="914400" rtl="1" eaLnBrk="1" latinLnBrk="0" hangingPunct="1">
                            <a:defRPr sz="1800" kern="1200">
                              <a:solidFill>
                                <a:schemeClr val="lt1"/>
                              </a:solidFill>
                              <a:latin typeface="+mn-lt"/>
                              <a:ea typeface="+mn-ea"/>
                              <a:cs typeface="+mn-cs"/>
                            </a:defRPr>
                          </a:lvl4pPr>
                          <a:lvl5pPr marL="1828800" algn="r" defTabSz="914400" rtl="1" eaLnBrk="1" latinLnBrk="0" hangingPunct="1">
                            <a:defRPr sz="1800" kern="1200">
                              <a:solidFill>
                                <a:schemeClr val="lt1"/>
                              </a:solidFill>
                              <a:latin typeface="+mn-lt"/>
                              <a:ea typeface="+mn-ea"/>
                              <a:cs typeface="+mn-cs"/>
                            </a:defRPr>
                          </a:lvl5pPr>
                          <a:lvl6pPr marL="2286000" algn="r" defTabSz="914400" rtl="1" eaLnBrk="1" latinLnBrk="0" hangingPunct="1">
                            <a:defRPr sz="1800" kern="1200">
                              <a:solidFill>
                                <a:schemeClr val="lt1"/>
                              </a:solidFill>
                              <a:latin typeface="+mn-lt"/>
                              <a:ea typeface="+mn-ea"/>
                              <a:cs typeface="+mn-cs"/>
                            </a:defRPr>
                          </a:lvl6pPr>
                          <a:lvl7pPr marL="2743200" algn="r" defTabSz="914400" rtl="1" eaLnBrk="1" latinLnBrk="0" hangingPunct="1">
                            <a:defRPr sz="1800" kern="1200">
                              <a:solidFill>
                                <a:schemeClr val="lt1"/>
                              </a:solidFill>
                              <a:latin typeface="+mn-lt"/>
                              <a:ea typeface="+mn-ea"/>
                              <a:cs typeface="+mn-cs"/>
                            </a:defRPr>
                          </a:lvl7pPr>
                          <a:lvl8pPr marL="3200400" algn="r" defTabSz="914400" rtl="1" eaLnBrk="1" latinLnBrk="0" hangingPunct="1">
                            <a:defRPr sz="1800" kern="1200">
                              <a:solidFill>
                                <a:schemeClr val="lt1"/>
                              </a:solidFill>
                              <a:latin typeface="+mn-lt"/>
                              <a:ea typeface="+mn-ea"/>
                              <a:cs typeface="+mn-cs"/>
                            </a:defRPr>
                          </a:lvl8pPr>
                          <a:lvl9pPr marL="3657600" algn="r" defTabSz="914400" rtl="1" eaLnBrk="1" latinLnBrk="0" hangingPunct="1">
                            <a:defRPr sz="1800" kern="1200">
                              <a:solidFill>
                                <a:schemeClr val="lt1"/>
                              </a:solidFill>
                              <a:latin typeface="+mn-lt"/>
                              <a:ea typeface="+mn-ea"/>
                              <a:cs typeface="+mn-cs"/>
                            </a:defRPr>
                          </a:lvl9pPr>
                        </a:lstStyle>
                        <a:p>
                          <a:pPr algn="ctr"/>
                          <a:endParaRPr lang="ar-SA"/>
                        </a:p>
                      </a:txBody>
                      <a:useSpRect/>
                    </a:txSp>
                    <a:style>
                      <a:lnRef idx="2">
                        <a:schemeClr val="dk1">
                          <a:shade val="50000"/>
                        </a:schemeClr>
                      </a:lnRef>
                      <a:fillRef idx="1">
                        <a:schemeClr val="dk1"/>
                      </a:fillRef>
                      <a:effectRef idx="0">
                        <a:schemeClr val="dk1"/>
                      </a:effectRef>
                      <a:fontRef idx="minor">
                        <a:schemeClr val="lt1"/>
                      </a:fontRef>
                    </a:style>
                  </a:sp>
                  <a:sp>
                    <a:nvSpPr>
                      <a:cNvPr id="10" name="مستطيل 9"/>
                      <a:cNvSpPr/>
                    </a:nvSpPr>
                    <a:spPr>
                      <a:xfrm>
                        <a:off x="3286116" y="3447636"/>
                        <a:ext cx="468397" cy="338554"/>
                      </a:xfrm>
                      <a:prstGeom prst="rect">
                        <a:avLst/>
                      </a:prstGeom>
                    </a:spPr>
                    <a:txSp>
                      <a:txBody>
                        <a:bodyPr wrap="none">
                          <a:spAutoFit/>
                        </a:bodyPr>
                        <a:lstStyle>
                          <a:defPPr>
                            <a:defRPr lang="ar-SA"/>
                          </a:defPPr>
                          <a:lvl1pPr marL="0" algn="r" defTabSz="914400" rtl="1" eaLnBrk="1" latinLnBrk="0" hangingPunct="1">
                            <a:defRPr sz="1800" kern="1200">
                              <a:solidFill>
                                <a:schemeClr val="tx1"/>
                              </a:solidFill>
                              <a:latin typeface="+mn-lt"/>
                              <a:ea typeface="+mn-ea"/>
                              <a:cs typeface="+mn-cs"/>
                            </a:defRPr>
                          </a:lvl1pPr>
                          <a:lvl2pPr marL="457200" algn="r" defTabSz="914400" rtl="1" eaLnBrk="1" latinLnBrk="0" hangingPunct="1">
                            <a:defRPr sz="1800" kern="1200">
                              <a:solidFill>
                                <a:schemeClr val="tx1"/>
                              </a:solidFill>
                              <a:latin typeface="+mn-lt"/>
                              <a:ea typeface="+mn-ea"/>
                              <a:cs typeface="+mn-cs"/>
                            </a:defRPr>
                          </a:lvl2pPr>
                          <a:lvl3pPr marL="914400" algn="r" defTabSz="914400" rtl="1" eaLnBrk="1" latinLnBrk="0" hangingPunct="1">
                            <a:defRPr sz="1800" kern="1200">
                              <a:solidFill>
                                <a:schemeClr val="tx1"/>
                              </a:solidFill>
                              <a:latin typeface="+mn-lt"/>
                              <a:ea typeface="+mn-ea"/>
                              <a:cs typeface="+mn-cs"/>
                            </a:defRPr>
                          </a:lvl3pPr>
                          <a:lvl4pPr marL="1371600" algn="r" defTabSz="914400" rtl="1" eaLnBrk="1" latinLnBrk="0" hangingPunct="1">
                            <a:defRPr sz="1800" kern="1200">
                              <a:solidFill>
                                <a:schemeClr val="tx1"/>
                              </a:solidFill>
                              <a:latin typeface="+mn-lt"/>
                              <a:ea typeface="+mn-ea"/>
                              <a:cs typeface="+mn-cs"/>
                            </a:defRPr>
                          </a:lvl4pPr>
                          <a:lvl5pPr marL="1828800" algn="r" defTabSz="914400" rtl="1" eaLnBrk="1" latinLnBrk="0" hangingPunct="1">
                            <a:defRPr sz="1800" kern="1200">
                              <a:solidFill>
                                <a:schemeClr val="tx1"/>
                              </a:solidFill>
                              <a:latin typeface="+mn-lt"/>
                              <a:ea typeface="+mn-ea"/>
                              <a:cs typeface="+mn-cs"/>
                            </a:defRPr>
                          </a:lvl5pPr>
                          <a:lvl6pPr marL="2286000" algn="r" defTabSz="914400" rtl="1" eaLnBrk="1" latinLnBrk="0" hangingPunct="1">
                            <a:defRPr sz="1800" kern="1200">
                              <a:solidFill>
                                <a:schemeClr val="tx1"/>
                              </a:solidFill>
                              <a:latin typeface="+mn-lt"/>
                              <a:ea typeface="+mn-ea"/>
                              <a:cs typeface="+mn-cs"/>
                            </a:defRPr>
                          </a:lvl6pPr>
                          <a:lvl7pPr marL="2743200" algn="r" defTabSz="914400" rtl="1" eaLnBrk="1" latinLnBrk="0" hangingPunct="1">
                            <a:defRPr sz="1800" kern="1200">
                              <a:solidFill>
                                <a:schemeClr val="tx1"/>
                              </a:solidFill>
                              <a:latin typeface="+mn-lt"/>
                              <a:ea typeface="+mn-ea"/>
                              <a:cs typeface="+mn-cs"/>
                            </a:defRPr>
                          </a:lvl7pPr>
                          <a:lvl8pPr marL="3200400" algn="r" defTabSz="914400" rtl="1" eaLnBrk="1" latinLnBrk="0" hangingPunct="1">
                            <a:defRPr sz="1800" kern="1200">
                              <a:solidFill>
                                <a:schemeClr val="tx1"/>
                              </a:solidFill>
                              <a:latin typeface="+mn-lt"/>
                              <a:ea typeface="+mn-ea"/>
                              <a:cs typeface="+mn-cs"/>
                            </a:defRPr>
                          </a:lvl8pPr>
                          <a:lvl9pPr marL="3657600" algn="r" defTabSz="914400" rtl="1" eaLnBrk="1" latinLnBrk="0" hangingPunct="1">
                            <a:defRPr sz="1800" kern="1200">
                              <a:solidFill>
                                <a:schemeClr val="tx1"/>
                              </a:solidFill>
                              <a:latin typeface="+mn-lt"/>
                              <a:ea typeface="+mn-ea"/>
                              <a:cs typeface="+mn-cs"/>
                            </a:defRPr>
                          </a:lvl9pPr>
                        </a:lstStyle>
                        <a:p>
                          <a:r>
                            <a:rPr lang="fr-FR" sz="1600" b="1" dirty="0" smtClean="0"/>
                            <a:t>M1</a:t>
                          </a:r>
                          <a:endParaRPr lang="ar-SA" dirty="0"/>
                        </a:p>
                      </a:txBody>
                      <a:useSpRect/>
                    </a:txSp>
                  </a:sp>
                  <a:sp>
                    <a:nvSpPr>
                      <a:cNvPr id="11" name="شكل بيضاوي 10"/>
                      <a:cNvSpPr/>
                    </a:nvSpPr>
                    <a:spPr>
                      <a:xfrm>
                        <a:off x="4572000" y="3429000"/>
                        <a:ext cx="45719" cy="71438"/>
                      </a:xfrm>
                      <a:prstGeom prst="ellipse">
                        <a:avLst/>
                      </a:prstGeom>
                    </a:spPr>
                    <a:txSp>
                      <a:txBody>
                        <a:bodyPr rtlCol="1" anchor="ctr"/>
                        <a:lstStyle>
                          <a:defPPr>
                            <a:defRPr lang="ar-SA"/>
                          </a:defPPr>
                          <a:lvl1pPr marL="0" algn="r" defTabSz="914400" rtl="1" eaLnBrk="1" latinLnBrk="0" hangingPunct="1">
                            <a:defRPr sz="1800" kern="1200">
                              <a:solidFill>
                                <a:schemeClr val="lt1"/>
                              </a:solidFill>
                              <a:latin typeface="+mn-lt"/>
                              <a:ea typeface="+mn-ea"/>
                              <a:cs typeface="+mn-cs"/>
                            </a:defRPr>
                          </a:lvl1pPr>
                          <a:lvl2pPr marL="457200" algn="r" defTabSz="914400" rtl="1" eaLnBrk="1" latinLnBrk="0" hangingPunct="1">
                            <a:defRPr sz="1800" kern="1200">
                              <a:solidFill>
                                <a:schemeClr val="lt1"/>
                              </a:solidFill>
                              <a:latin typeface="+mn-lt"/>
                              <a:ea typeface="+mn-ea"/>
                              <a:cs typeface="+mn-cs"/>
                            </a:defRPr>
                          </a:lvl2pPr>
                          <a:lvl3pPr marL="914400" algn="r" defTabSz="914400" rtl="1" eaLnBrk="1" latinLnBrk="0" hangingPunct="1">
                            <a:defRPr sz="1800" kern="1200">
                              <a:solidFill>
                                <a:schemeClr val="lt1"/>
                              </a:solidFill>
                              <a:latin typeface="+mn-lt"/>
                              <a:ea typeface="+mn-ea"/>
                              <a:cs typeface="+mn-cs"/>
                            </a:defRPr>
                          </a:lvl3pPr>
                          <a:lvl4pPr marL="1371600" algn="r" defTabSz="914400" rtl="1" eaLnBrk="1" latinLnBrk="0" hangingPunct="1">
                            <a:defRPr sz="1800" kern="1200">
                              <a:solidFill>
                                <a:schemeClr val="lt1"/>
                              </a:solidFill>
                              <a:latin typeface="+mn-lt"/>
                              <a:ea typeface="+mn-ea"/>
                              <a:cs typeface="+mn-cs"/>
                            </a:defRPr>
                          </a:lvl4pPr>
                          <a:lvl5pPr marL="1828800" algn="r" defTabSz="914400" rtl="1" eaLnBrk="1" latinLnBrk="0" hangingPunct="1">
                            <a:defRPr sz="1800" kern="1200">
                              <a:solidFill>
                                <a:schemeClr val="lt1"/>
                              </a:solidFill>
                              <a:latin typeface="+mn-lt"/>
                              <a:ea typeface="+mn-ea"/>
                              <a:cs typeface="+mn-cs"/>
                            </a:defRPr>
                          </a:lvl5pPr>
                          <a:lvl6pPr marL="2286000" algn="r" defTabSz="914400" rtl="1" eaLnBrk="1" latinLnBrk="0" hangingPunct="1">
                            <a:defRPr sz="1800" kern="1200">
                              <a:solidFill>
                                <a:schemeClr val="lt1"/>
                              </a:solidFill>
                              <a:latin typeface="+mn-lt"/>
                              <a:ea typeface="+mn-ea"/>
                              <a:cs typeface="+mn-cs"/>
                            </a:defRPr>
                          </a:lvl6pPr>
                          <a:lvl7pPr marL="2743200" algn="r" defTabSz="914400" rtl="1" eaLnBrk="1" latinLnBrk="0" hangingPunct="1">
                            <a:defRPr sz="1800" kern="1200">
                              <a:solidFill>
                                <a:schemeClr val="lt1"/>
                              </a:solidFill>
                              <a:latin typeface="+mn-lt"/>
                              <a:ea typeface="+mn-ea"/>
                              <a:cs typeface="+mn-cs"/>
                            </a:defRPr>
                          </a:lvl7pPr>
                          <a:lvl8pPr marL="3200400" algn="r" defTabSz="914400" rtl="1" eaLnBrk="1" latinLnBrk="0" hangingPunct="1">
                            <a:defRPr sz="1800" kern="1200">
                              <a:solidFill>
                                <a:schemeClr val="lt1"/>
                              </a:solidFill>
                              <a:latin typeface="+mn-lt"/>
                              <a:ea typeface="+mn-ea"/>
                              <a:cs typeface="+mn-cs"/>
                            </a:defRPr>
                          </a:lvl8pPr>
                          <a:lvl9pPr marL="3657600" algn="r" defTabSz="914400" rtl="1" eaLnBrk="1" latinLnBrk="0" hangingPunct="1">
                            <a:defRPr sz="1800" kern="1200">
                              <a:solidFill>
                                <a:schemeClr val="lt1"/>
                              </a:solidFill>
                              <a:latin typeface="+mn-lt"/>
                              <a:ea typeface="+mn-ea"/>
                              <a:cs typeface="+mn-cs"/>
                            </a:defRPr>
                          </a:lvl9pPr>
                        </a:lstStyle>
                        <a:p>
                          <a:pPr algn="ctr"/>
                          <a:endParaRPr lang="ar-SA"/>
                        </a:p>
                      </a:txBody>
                      <a:useSpRect/>
                    </a:txSp>
                    <a:style>
                      <a:lnRef idx="2">
                        <a:schemeClr val="dk1">
                          <a:shade val="50000"/>
                        </a:schemeClr>
                      </a:lnRef>
                      <a:fillRef idx="1">
                        <a:schemeClr val="dk1"/>
                      </a:fillRef>
                      <a:effectRef idx="0">
                        <a:schemeClr val="dk1"/>
                      </a:effectRef>
                      <a:fontRef idx="minor">
                        <a:schemeClr val="lt1"/>
                      </a:fontRef>
                    </a:style>
                  </a:sp>
                  <a:sp>
                    <a:nvSpPr>
                      <a:cNvPr id="12" name="شكل بيضاوي 11"/>
                      <a:cNvSpPr/>
                    </a:nvSpPr>
                    <a:spPr>
                      <a:xfrm>
                        <a:off x="5669289" y="3429000"/>
                        <a:ext cx="45719" cy="71438"/>
                      </a:xfrm>
                      <a:prstGeom prst="ellipse">
                        <a:avLst/>
                      </a:prstGeom>
                    </a:spPr>
                    <a:txSp>
                      <a:txBody>
                        <a:bodyPr rtlCol="1" anchor="ctr"/>
                        <a:lstStyle>
                          <a:defPPr>
                            <a:defRPr lang="ar-SA"/>
                          </a:defPPr>
                          <a:lvl1pPr marL="0" algn="r" defTabSz="914400" rtl="1" eaLnBrk="1" latinLnBrk="0" hangingPunct="1">
                            <a:defRPr sz="1800" kern="1200">
                              <a:solidFill>
                                <a:schemeClr val="lt1"/>
                              </a:solidFill>
                              <a:latin typeface="+mn-lt"/>
                              <a:ea typeface="+mn-ea"/>
                              <a:cs typeface="+mn-cs"/>
                            </a:defRPr>
                          </a:lvl1pPr>
                          <a:lvl2pPr marL="457200" algn="r" defTabSz="914400" rtl="1" eaLnBrk="1" latinLnBrk="0" hangingPunct="1">
                            <a:defRPr sz="1800" kern="1200">
                              <a:solidFill>
                                <a:schemeClr val="lt1"/>
                              </a:solidFill>
                              <a:latin typeface="+mn-lt"/>
                              <a:ea typeface="+mn-ea"/>
                              <a:cs typeface="+mn-cs"/>
                            </a:defRPr>
                          </a:lvl2pPr>
                          <a:lvl3pPr marL="914400" algn="r" defTabSz="914400" rtl="1" eaLnBrk="1" latinLnBrk="0" hangingPunct="1">
                            <a:defRPr sz="1800" kern="1200">
                              <a:solidFill>
                                <a:schemeClr val="lt1"/>
                              </a:solidFill>
                              <a:latin typeface="+mn-lt"/>
                              <a:ea typeface="+mn-ea"/>
                              <a:cs typeface="+mn-cs"/>
                            </a:defRPr>
                          </a:lvl3pPr>
                          <a:lvl4pPr marL="1371600" algn="r" defTabSz="914400" rtl="1" eaLnBrk="1" latinLnBrk="0" hangingPunct="1">
                            <a:defRPr sz="1800" kern="1200">
                              <a:solidFill>
                                <a:schemeClr val="lt1"/>
                              </a:solidFill>
                              <a:latin typeface="+mn-lt"/>
                              <a:ea typeface="+mn-ea"/>
                              <a:cs typeface="+mn-cs"/>
                            </a:defRPr>
                          </a:lvl4pPr>
                          <a:lvl5pPr marL="1828800" algn="r" defTabSz="914400" rtl="1" eaLnBrk="1" latinLnBrk="0" hangingPunct="1">
                            <a:defRPr sz="1800" kern="1200">
                              <a:solidFill>
                                <a:schemeClr val="lt1"/>
                              </a:solidFill>
                              <a:latin typeface="+mn-lt"/>
                              <a:ea typeface="+mn-ea"/>
                              <a:cs typeface="+mn-cs"/>
                            </a:defRPr>
                          </a:lvl5pPr>
                          <a:lvl6pPr marL="2286000" algn="r" defTabSz="914400" rtl="1" eaLnBrk="1" latinLnBrk="0" hangingPunct="1">
                            <a:defRPr sz="1800" kern="1200">
                              <a:solidFill>
                                <a:schemeClr val="lt1"/>
                              </a:solidFill>
                              <a:latin typeface="+mn-lt"/>
                              <a:ea typeface="+mn-ea"/>
                              <a:cs typeface="+mn-cs"/>
                            </a:defRPr>
                          </a:lvl6pPr>
                          <a:lvl7pPr marL="2743200" algn="r" defTabSz="914400" rtl="1" eaLnBrk="1" latinLnBrk="0" hangingPunct="1">
                            <a:defRPr sz="1800" kern="1200">
                              <a:solidFill>
                                <a:schemeClr val="lt1"/>
                              </a:solidFill>
                              <a:latin typeface="+mn-lt"/>
                              <a:ea typeface="+mn-ea"/>
                              <a:cs typeface="+mn-cs"/>
                            </a:defRPr>
                          </a:lvl7pPr>
                          <a:lvl8pPr marL="3200400" algn="r" defTabSz="914400" rtl="1" eaLnBrk="1" latinLnBrk="0" hangingPunct="1">
                            <a:defRPr sz="1800" kern="1200">
                              <a:solidFill>
                                <a:schemeClr val="lt1"/>
                              </a:solidFill>
                              <a:latin typeface="+mn-lt"/>
                              <a:ea typeface="+mn-ea"/>
                              <a:cs typeface="+mn-cs"/>
                            </a:defRPr>
                          </a:lvl8pPr>
                          <a:lvl9pPr marL="3657600" algn="r" defTabSz="914400" rtl="1" eaLnBrk="1" latinLnBrk="0" hangingPunct="1">
                            <a:defRPr sz="1800" kern="1200">
                              <a:solidFill>
                                <a:schemeClr val="lt1"/>
                              </a:solidFill>
                              <a:latin typeface="+mn-lt"/>
                              <a:ea typeface="+mn-ea"/>
                              <a:cs typeface="+mn-cs"/>
                            </a:defRPr>
                          </a:lvl9pPr>
                        </a:lstStyle>
                        <a:p>
                          <a:pPr algn="ctr"/>
                          <a:endParaRPr lang="ar-SA"/>
                        </a:p>
                      </a:txBody>
                      <a:useSpRect/>
                    </a:txSp>
                    <a:style>
                      <a:lnRef idx="2">
                        <a:schemeClr val="dk1">
                          <a:shade val="50000"/>
                        </a:schemeClr>
                      </a:lnRef>
                      <a:fillRef idx="1">
                        <a:schemeClr val="dk1"/>
                      </a:fillRef>
                      <a:effectRef idx="0">
                        <a:schemeClr val="dk1"/>
                      </a:effectRef>
                      <a:fontRef idx="minor">
                        <a:schemeClr val="lt1"/>
                      </a:fontRef>
                    </a:style>
                  </a:sp>
                  <a:sp>
                    <a:nvSpPr>
                      <a:cNvPr id="13" name="شكل بيضاوي 12"/>
                      <a:cNvSpPr/>
                    </a:nvSpPr>
                    <a:spPr>
                      <a:xfrm>
                        <a:off x="7026611" y="3429000"/>
                        <a:ext cx="45719" cy="71438"/>
                      </a:xfrm>
                      <a:prstGeom prst="ellipse">
                        <a:avLst/>
                      </a:prstGeom>
                    </a:spPr>
                    <a:txSp>
                      <a:txBody>
                        <a:bodyPr rtlCol="1" anchor="ctr"/>
                        <a:lstStyle>
                          <a:defPPr>
                            <a:defRPr lang="ar-SA"/>
                          </a:defPPr>
                          <a:lvl1pPr marL="0" algn="r" defTabSz="914400" rtl="1" eaLnBrk="1" latinLnBrk="0" hangingPunct="1">
                            <a:defRPr sz="1800" kern="1200">
                              <a:solidFill>
                                <a:schemeClr val="lt1"/>
                              </a:solidFill>
                              <a:latin typeface="+mn-lt"/>
                              <a:ea typeface="+mn-ea"/>
                              <a:cs typeface="+mn-cs"/>
                            </a:defRPr>
                          </a:lvl1pPr>
                          <a:lvl2pPr marL="457200" algn="r" defTabSz="914400" rtl="1" eaLnBrk="1" latinLnBrk="0" hangingPunct="1">
                            <a:defRPr sz="1800" kern="1200">
                              <a:solidFill>
                                <a:schemeClr val="lt1"/>
                              </a:solidFill>
                              <a:latin typeface="+mn-lt"/>
                              <a:ea typeface="+mn-ea"/>
                              <a:cs typeface="+mn-cs"/>
                            </a:defRPr>
                          </a:lvl2pPr>
                          <a:lvl3pPr marL="914400" algn="r" defTabSz="914400" rtl="1" eaLnBrk="1" latinLnBrk="0" hangingPunct="1">
                            <a:defRPr sz="1800" kern="1200">
                              <a:solidFill>
                                <a:schemeClr val="lt1"/>
                              </a:solidFill>
                              <a:latin typeface="+mn-lt"/>
                              <a:ea typeface="+mn-ea"/>
                              <a:cs typeface="+mn-cs"/>
                            </a:defRPr>
                          </a:lvl3pPr>
                          <a:lvl4pPr marL="1371600" algn="r" defTabSz="914400" rtl="1" eaLnBrk="1" latinLnBrk="0" hangingPunct="1">
                            <a:defRPr sz="1800" kern="1200">
                              <a:solidFill>
                                <a:schemeClr val="lt1"/>
                              </a:solidFill>
                              <a:latin typeface="+mn-lt"/>
                              <a:ea typeface="+mn-ea"/>
                              <a:cs typeface="+mn-cs"/>
                            </a:defRPr>
                          </a:lvl4pPr>
                          <a:lvl5pPr marL="1828800" algn="r" defTabSz="914400" rtl="1" eaLnBrk="1" latinLnBrk="0" hangingPunct="1">
                            <a:defRPr sz="1800" kern="1200">
                              <a:solidFill>
                                <a:schemeClr val="lt1"/>
                              </a:solidFill>
                              <a:latin typeface="+mn-lt"/>
                              <a:ea typeface="+mn-ea"/>
                              <a:cs typeface="+mn-cs"/>
                            </a:defRPr>
                          </a:lvl5pPr>
                          <a:lvl6pPr marL="2286000" algn="r" defTabSz="914400" rtl="1" eaLnBrk="1" latinLnBrk="0" hangingPunct="1">
                            <a:defRPr sz="1800" kern="1200">
                              <a:solidFill>
                                <a:schemeClr val="lt1"/>
                              </a:solidFill>
                              <a:latin typeface="+mn-lt"/>
                              <a:ea typeface="+mn-ea"/>
                              <a:cs typeface="+mn-cs"/>
                            </a:defRPr>
                          </a:lvl6pPr>
                          <a:lvl7pPr marL="2743200" algn="r" defTabSz="914400" rtl="1" eaLnBrk="1" latinLnBrk="0" hangingPunct="1">
                            <a:defRPr sz="1800" kern="1200">
                              <a:solidFill>
                                <a:schemeClr val="lt1"/>
                              </a:solidFill>
                              <a:latin typeface="+mn-lt"/>
                              <a:ea typeface="+mn-ea"/>
                              <a:cs typeface="+mn-cs"/>
                            </a:defRPr>
                          </a:lvl7pPr>
                          <a:lvl8pPr marL="3200400" algn="r" defTabSz="914400" rtl="1" eaLnBrk="1" latinLnBrk="0" hangingPunct="1">
                            <a:defRPr sz="1800" kern="1200">
                              <a:solidFill>
                                <a:schemeClr val="lt1"/>
                              </a:solidFill>
                              <a:latin typeface="+mn-lt"/>
                              <a:ea typeface="+mn-ea"/>
                              <a:cs typeface="+mn-cs"/>
                            </a:defRPr>
                          </a:lvl8pPr>
                          <a:lvl9pPr marL="3657600" algn="r" defTabSz="914400" rtl="1" eaLnBrk="1" latinLnBrk="0" hangingPunct="1">
                            <a:defRPr sz="1800" kern="1200">
                              <a:solidFill>
                                <a:schemeClr val="lt1"/>
                              </a:solidFill>
                              <a:latin typeface="+mn-lt"/>
                              <a:ea typeface="+mn-ea"/>
                              <a:cs typeface="+mn-cs"/>
                            </a:defRPr>
                          </a:lvl9pPr>
                        </a:lstStyle>
                        <a:p>
                          <a:pPr algn="ctr"/>
                          <a:endParaRPr lang="ar-SA"/>
                        </a:p>
                      </a:txBody>
                      <a:useSpRect/>
                    </a:txSp>
                    <a:style>
                      <a:lnRef idx="2">
                        <a:schemeClr val="dk1">
                          <a:shade val="50000"/>
                        </a:schemeClr>
                      </a:lnRef>
                      <a:fillRef idx="1">
                        <a:schemeClr val="dk1"/>
                      </a:fillRef>
                      <a:effectRef idx="0">
                        <a:schemeClr val="dk1"/>
                      </a:effectRef>
                      <a:fontRef idx="minor">
                        <a:schemeClr val="lt1"/>
                      </a:fontRef>
                    </a:style>
                  </a:sp>
                  <a:sp>
                    <a:nvSpPr>
                      <a:cNvPr id="14" name="مستطيل 13"/>
                      <a:cNvSpPr/>
                    </a:nvSpPr>
                    <a:spPr>
                      <a:xfrm>
                        <a:off x="4143372" y="3416858"/>
                        <a:ext cx="503663" cy="369332"/>
                      </a:xfrm>
                      <a:prstGeom prst="rect">
                        <a:avLst/>
                      </a:prstGeom>
                    </a:spPr>
                    <a:txSp>
                      <a:txBody>
                        <a:bodyPr wrap="none">
                          <a:spAutoFit/>
                        </a:bodyPr>
                        <a:lstStyle>
                          <a:defPPr>
                            <a:defRPr lang="ar-SA"/>
                          </a:defPPr>
                          <a:lvl1pPr marL="0" algn="r" defTabSz="914400" rtl="1" eaLnBrk="1" latinLnBrk="0" hangingPunct="1">
                            <a:defRPr sz="1800" kern="1200">
                              <a:solidFill>
                                <a:schemeClr val="tx1"/>
                              </a:solidFill>
                              <a:latin typeface="+mn-lt"/>
                              <a:ea typeface="+mn-ea"/>
                              <a:cs typeface="+mn-cs"/>
                            </a:defRPr>
                          </a:lvl1pPr>
                          <a:lvl2pPr marL="457200" algn="r" defTabSz="914400" rtl="1" eaLnBrk="1" latinLnBrk="0" hangingPunct="1">
                            <a:defRPr sz="1800" kern="1200">
                              <a:solidFill>
                                <a:schemeClr val="tx1"/>
                              </a:solidFill>
                              <a:latin typeface="+mn-lt"/>
                              <a:ea typeface="+mn-ea"/>
                              <a:cs typeface="+mn-cs"/>
                            </a:defRPr>
                          </a:lvl2pPr>
                          <a:lvl3pPr marL="914400" algn="r" defTabSz="914400" rtl="1" eaLnBrk="1" latinLnBrk="0" hangingPunct="1">
                            <a:defRPr sz="1800" kern="1200">
                              <a:solidFill>
                                <a:schemeClr val="tx1"/>
                              </a:solidFill>
                              <a:latin typeface="+mn-lt"/>
                              <a:ea typeface="+mn-ea"/>
                              <a:cs typeface="+mn-cs"/>
                            </a:defRPr>
                          </a:lvl3pPr>
                          <a:lvl4pPr marL="1371600" algn="r" defTabSz="914400" rtl="1" eaLnBrk="1" latinLnBrk="0" hangingPunct="1">
                            <a:defRPr sz="1800" kern="1200">
                              <a:solidFill>
                                <a:schemeClr val="tx1"/>
                              </a:solidFill>
                              <a:latin typeface="+mn-lt"/>
                              <a:ea typeface="+mn-ea"/>
                              <a:cs typeface="+mn-cs"/>
                            </a:defRPr>
                          </a:lvl4pPr>
                          <a:lvl5pPr marL="1828800" algn="r" defTabSz="914400" rtl="1" eaLnBrk="1" latinLnBrk="0" hangingPunct="1">
                            <a:defRPr sz="1800" kern="1200">
                              <a:solidFill>
                                <a:schemeClr val="tx1"/>
                              </a:solidFill>
                              <a:latin typeface="+mn-lt"/>
                              <a:ea typeface="+mn-ea"/>
                              <a:cs typeface="+mn-cs"/>
                            </a:defRPr>
                          </a:lvl5pPr>
                          <a:lvl6pPr marL="2286000" algn="r" defTabSz="914400" rtl="1" eaLnBrk="1" latinLnBrk="0" hangingPunct="1">
                            <a:defRPr sz="1800" kern="1200">
                              <a:solidFill>
                                <a:schemeClr val="tx1"/>
                              </a:solidFill>
                              <a:latin typeface="+mn-lt"/>
                              <a:ea typeface="+mn-ea"/>
                              <a:cs typeface="+mn-cs"/>
                            </a:defRPr>
                          </a:lvl6pPr>
                          <a:lvl7pPr marL="2743200" algn="r" defTabSz="914400" rtl="1" eaLnBrk="1" latinLnBrk="0" hangingPunct="1">
                            <a:defRPr sz="1800" kern="1200">
                              <a:solidFill>
                                <a:schemeClr val="tx1"/>
                              </a:solidFill>
                              <a:latin typeface="+mn-lt"/>
                              <a:ea typeface="+mn-ea"/>
                              <a:cs typeface="+mn-cs"/>
                            </a:defRPr>
                          </a:lvl7pPr>
                          <a:lvl8pPr marL="3200400" algn="r" defTabSz="914400" rtl="1" eaLnBrk="1" latinLnBrk="0" hangingPunct="1">
                            <a:defRPr sz="1800" kern="1200">
                              <a:solidFill>
                                <a:schemeClr val="tx1"/>
                              </a:solidFill>
                              <a:latin typeface="+mn-lt"/>
                              <a:ea typeface="+mn-ea"/>
                              <a:cs typeface="+mn-cs"/>
                            </a:defRPr>
                          </a:lvl8pPr>
                          <a:lvl9pPr marL="3657600" algn="r" defTabSz="914400" rtl="1" eaLnBrk="1" latinLnBrk="0" hangingPunct="1">
                            <a:defRPr sz="1800" kern="1200">
                              <a:solidFill>
                                <a:schemeClr val="tx1"/>
                              </a:solidFill>
                              <a:latin typeface="+mn-lt"/>
                              <a:ea typeface="+mn-ea"/>
                              <a:cs typeface="+mn-cs"/>
                            </a:defRPr>
                          </a:lvl9pPr>
                        </a:lstStyle>
                        <a:p>
                          <a:r>
                            <a:rPr lang="fr-FR" b="1" dirty="0" smtClean="0"/>
                            <a:t>M1</a:t>
                          </a:r>
                          <a:endParaRPr lang="ar-SA" dirty="0"/>
                        </a:p>
                      </a:txBody>
                      <a:useSpRect/>
                    </a:txSp>
                  </a:sp>
                  <a:sp>
                    <a:nvSpPr>
                      <a:cNvPr id="15" name="مستطيل 14"/>
                      <a:cNvSpPr/>
                    </a:nvSpPr>
                    <a:spPr>
                      <a:xfrm>
                        <a:off x="5572132" y="3429000"/>
                        <a:ext cx="503663" cy="369332"/>
                      </a:xfrm>
                      <a:prstGeom prst="rect">
                        <a:avLst/>
                      </a:prstGeom>
                    </a:spPr>
                    <a:txSp>
                      <a:txBody>
                        <a:bodyPr wrap="none">
                          <a:spAutoFit/>
                        </a:bodyPr>
                        <a:lstStyle>
                          <a:defPPr>
                            <a:defRPr lang="ar-SA"/>
                          </a:defPPr>
                          <a:lvl1pPr marL="0" algn="r" defTabSz="914400" rtl="1" eaLnBrk="1" latinLnBrk="0" hangingPunct="1">
                            <a:defRPr sz="1800" kern="1200">
                              <a:solidFill>
                                <a:schemeClr val="tx1"/>
                              </a:solidFill>
                              <a:latin typeface="+mn-lt"/>
                              <a:ea typeface="+mn-ea"/>
                              <a:cs typeface="+mn-cs"/>
                            </a:defRPr>
                          </a:lvl1pPr>
                          <a:lvl2pPr marL="457200" algn="r" defTabSz="914400" rtl="1" eaLnBrk="1" latinLnBrk="0" hangingPunct="1">
                            <a:defRPr sz="1800" kern="1200">
                              <a:solidFill>
                                <a:schemeClr val="tx1"/>
                              </a:solidFill>
                              <a:latin typeface="+mn-lt"/>
                              <a:ea typeface="+mn-ea"/>
                              <a:cs typeface="+mn-cs"/>
                            </a:defRPr>
                          </a:lvl2pPr>
                          <a:lvl3pPr marL="914400" algn="r" defTabSz="914400" rtl="1" eaLnBrk="1" latinLnBrk="0" hangingPunct="1">
                            <a:defRPr sz="1800" kern="1200">
                              <a:solidFill>
                                <a:schemeClr val="tx1"/>
                              </a:solidFill>
                              <a:latin typeface="+mn-lt"/>
                              <a:ea typeface="+mn-ea"/>
                              <a:cs typeface="+mn-cs"/>
                            </a:defRPr>
                          </a:lvl3pPr>
                          <a:lvl4pPr marL="1371600" algn="r" defTabSz="914400" rtl="1" eaLnBrk="1" latinLnBrk="0" hangingPunct="1">
                            <a:defRPr sz="1800" kern="1200">
                              <a:solidFill>
                                <a:schemeClr val="tx1"/>
                              </a:solidFill>
                              <a:latin typeface="+mn-lt"/>
                              <a:ea typeface="+mn-ea"/>
                              <a:cs typeface="+mn-cs"/>
                            </a:defRPr>
                          </a:lvl4pPr>
                          <a:lvl5pPr marL="1828800" algn="r" defTabSz="914400" rtl="1" eaLnBrk="1" latinLnBrk="0" hangingPunct="1">
                            <a:defRPr sz="1800" kern="1200">
                              <a:solidFill>
                                <a:schemeClr val="tx1"/>
                              </a:solidFill>
                              <a:latin typeface="+mn-lt"/>
                              <a:ea typeface="+mn-ea"/>
                              <a:cs typeface="+mn-cs"/>
                            </a:defRPr>
                          </a:lvl5pPr>
                          <a:lvl6pPr marL="2286000" algn="r" defTabSz="914400" rtl="1" eaLnBrk="1" latinLnBrk="0" hangingPunct="1">
                            <a:defRPr sz="1800" kern="1200">
                              <a:solidFill>
                                <a:schemeClr val="tx1"/>
                              </a:solidFill>
                              <a:latin typeface="+mn-lt"/>
                              <a:ea typeface="+mn-ea"/>
                              <a:cs typeface="+mn-cs"/>
                            </a:defRPr>
                          </a:lvl6pPr>
                          <a:lvl7pPr marL="2743200" algn="r" defTabSz="914400" rtl="1" eaLnBrk="1" latinLnBrk="0" hangingPunct="1">
                            <a:defRPr sz="1800" kern="1200">
                              <a:solidFill>
                                <a:schemeClr val="tx1"/>
                              </a:solidFill>
                              <a:latin typeface="+mn-lt"/>
                              <a:ea typeface="+mn-ea"/>
                              <a:cs typeface="+mn-cs"/>
                            </a:defRPr>
                          </a:lvl7pPr>
                          <a:lvl8pPr marL="3200400" algn="r" defTabSz="914400" rtl="1" eaLnBrk="1" latinLnBrk="0" hangingPunct="1">
                            <a:defRPr sz="1800" kern="1200">
                              <a:solidFill>
                                <a:schemeClr val="tx1"/>
                              </a:solidFill>
                              <a:latin typeface="+mn-lt"/>
                              <a:ea typeface="+mn-ea"/>
                              <a:cs typeface="+mn-cs"/>
                            </a:defRPr>
                          </a:lvl8pPr>
                          <a:lvl9pPr marL="3657600" algn="r" defTabSz="914400" rtl="1" eaLnBrk="1" latinLnBrk="0" hangingPunct="1">
                            <a:defRPr sz="1800" kern="1200">
                              <a:solidFill>
                                <a:schemeClr val="tx1"/>
                              </a:solidFill>
                              <a:latin typeface="+mn-lt"/>
                              <a:ea typeface="+mn-ea"/>
                              <a:cs typeface="+mn-cs"/>
                            </a:defRPr>
                          </a:lvl9pPr>
                        </a:lstStyle>
                        <a:p>
                          <a:r>
                            <a:rPr lang="fr-FR" b="1" dirty="0" smtClean="0"/>
                            <a:t>M1</a:t>
                          </a:r>
                          <a:endParaRPr lang="ar-SA" dirty="0"/>
                        </a:p>
                      </a:txBody>
                      <a:useSpRect/>
                    </a:txSp>
                  </a:sp>
                  <a:sp>
                    <a:nvSpPr>
                      <a:cNvPr id="16" name="مستطيل 15"/>
                      <a:cNvSpPr/>
                    </a:nvSpPr>
                    <a:spPr>
                      <a:xfrm>
                        <a:off x="6643702" y="3429000"/>
                        <a:ext cx="503663" cy="369332"/>
                      </a:xfrm>
                      <a:prstGeom prst="rect">
                        <a:avLst/>
                      </a:prstGeom>
                    </a:spPr>
                    <a:txSp>
                      <a:txBody>
                        <a:bodyPr wrap="none">
                          <a:spAutoFit/>
                        </a:bodyPr>
                        <a:lstStyle>
                          <a:defPPr>
                            <a:defRPr lang="ar-SA"/>
                          </a:defPPr>
                          <a:lvl1pPr marL="0" algn="r" defTabSz="914400" rtl="1" eaLnBrk="1" latinLnBrk="0" hangingPunct="1">
                            <a:defRPr sz="1800" kern="1200">
                              <a:solidFill>
                                <a:schemeClr val="tx1"/>
                              </a:solidFill>
                              <a:latin typeface="+mn-lt"/>
                              <a:ea typeface="+mn-ea"/>
                              <a:cs typeface="+mn-cs"/>
                            </a:defRPr>
                          </a:lvl1pPr>
                          <a:lvl2pPr marL="457200" algn="r" defTabSz="914400" rtl="1" eaLnBrk="1" latinLnBrk="0" hangingPunct="1">
                            <a:defRPr sz="1800" kern="1200">
                              <a:solidFill>
                                <a:schemeClr val="tx1"/>
                              </a:solidFill>
                              <a:latin typeface="+mn-lt"/>
                              <a:ea typeface="+mn-ea"/>
                              <a:cs typeface="+mn-cs"/>
                            </a:defRPr>
                          </a:lvl2pPr>
                          <a:lvl3pPr marL="914400" algn="r" defTabSz="914400" rtl="1" eaLnBrk="1" latinLnBrk="0" hangingPunct="1">
                            <a:defRPr sz="1800" kern="1200">
                              <a:solidFill>
                                <a:schemeClr val="tx1"/>
                              </a:solidFill>
                              <a:latin typeface="+mn-lt"/>
                              <a:ea typeface="+mn-ea"/>
                              <a:cs typeface="+mn-cs"/>
                            </a:defRPr>
                          </a:lvl3pPr>
                          <a:lvl4pPr marL="1371600" algn="r" defTabSz="914400" rtl="1" eaLnBrk="1" latinLnBrk="0" hangingPunct="1">
                            <a:defRPr sz="1800" kern="1200">
                              <a:solidFill>
                                <a:schemeClr val="tx1"/>
                              </a:solidFill>
                              <a:latin typeface="+mn-lt"/>
                              <a:ea typeface="+mn-ea"/>
                              <a:cs typeface="+mn-cs"/>
                            </a:defRPr>
                          </a:lvl4pPr>
                          <a:lvl5pPr marL="1828800" algn="r" defTabSz="914400" rtl="1" eaLnBrk="1" latinLnBrk="0" hangingPunct="1">
                            <a:defRPr sz="1800" kern="1200">
                              <a:solidFill>
                                <a:schemeClr val="tx1"/>
                              </a:solidFill>
                              <a:latin typeface="+mn-lt"/>
                              <a:ea typeface="+mn-ea"/>
                              <a:cs typeface="+mn-cs"/>
                            </a:defRPr>
                          </a:lvl5pPr>
                          <a:lvl6pPr marL="2286000" algn="r" defTabSz="914400" rtl="1" eaLnBrk="1" latinLnBrk="0" hangingPunct="1">
                            <a:defRPr sz="1800" kern="1200">
                              <a:solidFill>
                                <a:schemeClr val="tx1"/>
                              </a:solidFill>
                              <a:latin typeface="+mn-lt"/>
                              <a:ea typeface="+mn-ea"/>
                              <a:cs typeface="+mn-cs"/>
                            </a:defRPr>
                          </a:lvl6pPr>
                          <a:lvl7pPr marL="2743200" algn="r" defTabSz="914400" rtl="1" eaLnBrk="1" latinLnBrk="0" hangingPunct="1">
                            <a:defRPr sz="1800" kern="1200">
                              <a:solidFill>
                                <a:schemeClr val="tx1"/>
                              </a:solidFill>
                              <a:latin typeface="+mn-lt"/>
                              <a:ea typeface="+mn-ea"/>
                              <a:cs typeface="+mn-cs"/>
                            </a:defRPr>
                          </a:lvl7pPr>
                          <a:lvl8pPr marL="3200400" algn="r" defTabSz="914400" rtl="1" eaLnBrk="1" latinLnBrk="0" hangingPunct="1">
                            <a:defRPr sz="1800" kern="1200">
                              <a:solidFill>
                                <a:schemeClr val="tx1"/>
                              </a:solidFill>
                              <a:latin typeface="+mn-lt"/>
                              <a:ea typeface="+mn-ea"/>
                              <a:cs typeface="+mn-cs"/>
                            </a:defRPr>
                          </a:lvl8pPr>
                          <a:lvl9pPr marL="3657600" algn="r" defTabSz="914400" rtl="1" eaLnBrk="1" latinLnBrk="0" hangingPunct="1">
                            <a:defRPr sz="1800" kern="1200">
                              <a:solidFill>
                                <a:schemeClr val="tx1"/>
                              </a:solidFill>
                              <a:latin typeface="+mn-lt"/>
                              <a:ea typeface="+mn-ea"/>
                              <a:cs typeface="+mn-cs"/>
                            </a:defRPr>
                          </a:lvl9pPr>
                        </a:lstStyle>
                        <a:p>
                          <a:r>
                            <a:rPr lang="fr-FR" b="1" dirty="0" smtClean="0"/>
                            <a:t>M1</a:t>
                          </a:r>
                          <a:endParaRPr lang="ar-SA" dirty="0"/>
                        </a:p>
                      </a:txBody>
                      <a:useSpRect/>
                    </a:txSp>
                  </a:sp>
                </lc:lockedCanvas>
              </a:graphicData>
            </a:graphic>
          </wp:inline>
        </w:drawing>
      </w:r>
      <w:r>
        <w:rPr>
          <w:rFonts w:ascii="Times New Roman" w:hAnsi="Times New Roman" w:cs="Times New Roman"/>
        </w:rPr>
        <w:t xml:space="preserve"> </w:t>
      </w:r>
    </w:p>
    <w:p w:rsidR="002F0AC6" w:rsidRDefault="002F0AC6" w:rsidP="00371892">
      <w:pPr>
        <w:tabs>
          <w:tab w:val="left" w:pos="3633"/>
        </w:tabs>
        <w:jc w:val="center"/>
        <w:rPr>
          <w:noProof/>
        </w:rPr>
      </w:pPr>
      <w:r w:rsidRPr="00BD6307">
        <w:rPr>
          <w:rFonts w:asciiTheme="majorBidi" w:hAnsiTheme="majorBidi" w:cstheme="majorBidi"/>
          <w:b/>
          <w:bCs/>
        </w:rPr>
        <w:t>Figure</w:t>
      </w:r>
      <w:r w:rsidRPr="00BD6307">
        <w:rPr>
          <w:rFonts w:ascii="Times New Roman" w:hAnsi="Times New Roman" w:cs="Times New Roman"/>
          <w:b/>
          <w:bCs/>
        </w:rPr>
        <w:t xml:space="preserve"> V</w:t>
      </w:r>
      <w:r w:rsidRPr="00BD6307">
        <w:rPr>
          <w:rFonts w:asciiTheme="majorBidi" w:hAnsiTheme="majorBidi" w:cstheme="majorBidi"/>
          <w:b/>
          <w:bCs/>
        </w:rPr>
        <w:t xml:space="preserve"> .5:</w:t>
      </w:r>
      <w:r w:rsidRPr="00BD6307">
        <w:rPr>
          <w:rFonts w:asciiTheme="majorBidi" w:hAnsiTheme="majorBidi" w:cstheme="majorBidi"/>
        </w:rPr>
        <w:t xml:space="preserve">  géométrie de Domaine </w:t>
      </w:r>
    </w:p>
    <w:p w:rsidR="00371892" w:rsidRPr="00371892" w:rsidRDefault="00371892" w:rsidP="00371892">
      <w:pPr>
        <w:tabs>
          <w:tab w:val="left" w:pos="3633"/>
        </w:tabs>
        <w:jc w:val="center"/>
        <w:rPr>
          <w:noProof/>
        </w:rPr>
      </w:pPr>
    </w:p>
    <w:p w:rsidR="002F0AC6" w:rsidRDefault="00371892" w:rsidP="00C26C9F">
      <w:pPr>
        <w:autoSpaceDE w:val="0"/>
        <w:autoSpaceDN w:val="0"/>
        <w:adjustRightInd w:val="0"/>
        <w:spacing w:after="0" w:line="360" w:lineRule="auto"/>
        <w:jc w:val="both"/>
        <w:rPr>
          <w:rFonts w:ascii="Times New Roman" w:hAnsi="Times New Roman" w:cs="Times New Roman"/>
          <w:lang w:val="pt-BR"/>
        </w:rPr>
      </w:pPr>
      <w:r w:rsidRPr="00951226">
        <w:rPr>
          <w:rFonts w:ascii="Times New Roman" w:hAnsi="Times New Roman" w:cs="Times New Roman"/>
          <w:lang w:val="pt-BR"/>
        </w:rPr>
        <w:t xml:space="preserve">On dispose de 4 sondes (M1 (10,10), M2 (15,10), M3 (23,10), </w:t>
      </w:r>
      <w:r w:rsidRPr="00951226">
        <w:rPr>
          <w:rFonts w:ascii="Times New Roman" w:hAnsi="Times New Roman" w:cs="Times New Roman"/>
        </w:rPr>
        <w:t xml:space="preserve">M4 </w:t>
      </w:r>
      <w:r w:rsidRPr="00951226">
        <w:rPr>
          <w:rFonts w:ascii="Times New Roman" w:hAnsi="Times New Roman" w:cs="Times New Roman"/>
          <w:lang w:val="pt-BR"/>
        </w:rPr>
        <w:t xml:space="preserve">(29,10)) </w:t>
      </w:r>
      <w:r w:rsidR="00951226">
        <w:rPr>
          <w:rFonts w:ascii="Times New Roman" w:hAnsi="Times New Roman" w:cs="Times New Roman"/>
          <w:lang w:val="pt-BR"/>
        </w:rPr>
        <w:t>representnées sur la fig</w:t>
      </w:r>
      <w:r w:rsidR="00C26C9F">
        <w:rPr>
          <w:rFonts w:ascii="Times New Roman" w:hAnsi="Times New Roman" w:cs="Times New Roman"/>
          <w:lang w:val="pt-BR"/>
        </w:rPr>
        <w:t>ure (V.5). pour enregistrer les variations temporelles du niveau piézometrique dans la nappe.</w:t>
      </w:r>
    </w:p>
    <w:p w:rsidR="00C26C9F" w:rsidRPr="00953802" w:rsidRDefault="00C26C9F" w:rsidP="00C26C9F">
      <w:pPr>
        <w:autoSpaceDE w:val="0"/>
        <w:autoSpaceDN w:val="0"/>
        <w:adjustRightInd w:val="0"/>
        <w:spacing w:after="0" w:line="360" w:lineRule="auto"/>
        <w:jc w:val="both"/>
        <w:rPr>
          <w:rFonts w:ascii="Times New Roman" w:hAnsi="Times New Roman" w:cs="Times New Roman"/>
        </w:rPr>
      </w:pPr>
      <w:r>
        <w:rPr>
          <w:rFonts w:ascii="Times New Roman" w:hAnsi="Times New Roman" w:cs="Times New Roman"/>
          <w:lang w:val="pt-BR"/>
        </w:rPr>
        <w:t>Le niveau de la nappe et les cour</w:t>
      </w:r>
      <w:r w:rsidR="00EC7EB0">
        <w:rPr>
          <w:rFonts w:ascii="Times New Roman" w:hAnsi="Times New Roman" w:cs="Times New Roman"/>
          <w:lang w:val="pt-BR"/>
        </w:rPr>
        <w:t>bes isohauteurs, aprés 10 heur de simulation sont representés respectivement sur les figures (V.6) et (V.7).</w:t>
      </w:r>
    </w:p>
    <w:p w:rsidR="002F0AC6" w:rsidRDefault="002F0AC6" w:rsidP="002F0AC6">
      <w:pPr>
        <w:autoSpaceDE w:val="0"/>
        <w:autoSpaceDN w:val="0"/>
        <w:adjustRightInd w:val="0"/>
        <w:spacing w:after="0" w:line="360" w:lineRule="auto"/>
        <w:jc w:val="center"/>
        <w:rPr>
          <w:rFonts w:ascii="Times New Roman" w:hAnsi="Times New Roman" w:cs="Times New Roman"/>
        </w:rPr>
      </w:pPr>
      <w:r>
        <w:rPr>
          <w:rFonts w:ascii="Times New Roman" w:hAnsi="Times New Roman" w:cs="Times New Roman"/>
          <w:noProof/>
          <w:lang w:eastAsia="fr-FR"/>
        </w:rPr>
        <w:drawing>
          <wp:inline distT="0" distB="0" distL="0" distR="0">
            <wp:extent cx="5043214" cy="3240000"/>
            <wp:effectExtent l="19050" t="0" r="0" b="0"/>
            <wp:docPr id="24" name="صورة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srcRect/>
                    <a:stretch>
                      <a:fillRect/>
                    </a:stretch>
                  </pic:blipFill>
                  <pic:spPr bwMode="auto">
                    <a:xfrm>
                      <a:off x="0" y="0"/>
                      <a:ext cx="5043214" cy="3240000"/>
                    </a:xfrm>
                    <a:prstGeom prst="rect">
                      <a:avLst/>
                    </a:prstGeom>
                    <a:noFill/>
                    <a:ln w="9525">
                      <a:noFill/>
                      <a:miter lim="800000"/>
                      <a:headEnd/>
                      <a:tailEnd/>
                    </a:ln>
                  </pic:spPr>
                </pic:pic>
              </a:graphicData>
            </a:graphic>
          </wp:inline>
        </w:drawing>
      </w:r>
    </w:p>
    <w:p w:rsidR="00EC7EB0" w:rsidRDefault="002F0AC6" w:rsidP="00EC7EB0">
      <w:pPr>
        <w:spacing w:before="240"/>
        <w:jc w:val="center"/>
        <w:rPr>
          <w:rFonts w:asciiTheme="majorBidi" w:hAnsiTheme="majorBidi" w:cstheme="majorBidi"/>
          <w:noProof/>
          <w:lang w:eastAsia="fr-FR"/>
        </w:rPr>
      </w:pPr>
      <w:r w:rsidRPr="00BD6307">
        <w:rPr>
          <w:rFonts w:asciiTheme="majorBidi" w:hAnsiTheme="majorBidi" w:cstheme="majorBidi"/>
          <w:b/>
          <w:bCs/>
        </w:rPr>
        <w:t>Figure</w:t>
      </w:r>
      <w:r w:rsidRPr="00BD6307">
        <w:rPr>
          <w:rFonts w:ascii="Times New Roman" w:hAnsi="Times New Roman" w:cs="Times New Roman"/>
          <w:b/>
          <w:bCs/>
        </w:rPr>
        <w:t xml:space="preserve"> V</w:t>
      </w:r>
      <w:r w:rsidR="00EC7EB0">
        <w:rPr>
          <w:rFonts w:asciiTheme="majorBidi" w:hAnsiTheme="majorBidi" w:cstheme="majorBidi"/>
          <w:b/>
          <w:bCs/>
        </w:rPr>
        <w:t xml:space="preserve"> .6</w:t>
      </w:r>
      <w:r w:rsidRPr="00BD6307">
        <w:rPr>
          <w:rFonts w:asciiTheme="majorBidi" w:hAnsiTheme="majorBidi" w:cstheme="majorBidi"/>
          <w:b/>
          <w:bCs/>
        </w:rPr>
        <w:t>:</w:t>
      </w:r>
      <w:r w:rsidRPr="00BD6307">
        <w:rPr>
          <w:rFonts w:asciiTheme="majorBidi" w:hAnsiTheme="majorBidi" w:cstheme="majorBidi"/>
        </w:rPr>
        <w:t xml:space="preserve">  </w:t>
      </w:r>
      <w:r w:rsidRPr="000B7050">
        <w:rPr>
          <w:rFonts w:asciiTheme="majorBidi" w:hAnsiTheme="majorBidi" w:cstheme="majorBidi"/>
          <w:noProof/>
          <w:lang w:eastAsia="fr-FR"/>
        </w:rPr>
        <w:t>Vue à trois dimension de la hauteur  dans le bloc parallélépipédique</w:t>
      </w:r>
      <w:r>
        <w:rPr>
          <w:rFonts w:asciiTheme="majorBidi" w:hAnsiTheme="majorBidi" w:cstheme="majorBidi"/>
          <w:noProof/>
          <w:lang w:eastAsia="fr-FR"/>
        </w:rPr>
        <w:t xml:space="preserve">  </w:t>
      </w:r>
      <w:r w:rsidRPr="000B7050">
        <w:rPr>
          <w:rFonts w:asciiTheme="majorBidi" w:hAnsiTheme="majorBidi" w:cstheme="majorBidi"/>
          <w:noProof/>
          <w:lang w:eastAsia="fr-FR"/>
        </w:rPr>
        <w:t>de sable</w:t>
      </w:r>
      <w:r w:rsidR="00EC7EB0">
        <w:rPr>
          <w:rFonts w:asciiTheme="majorBidi" w:hAnsiTheme="majorBidi" w:cstheme="majorBidi"/>
          <w:noProof/>
          <w:lang w:eastAsia="fr-FR"/>
        </w:rPr>
        <w:t>(10</w:t>
      </w:r>
    </w:p>
    <w:p w:rsidR="002F0AC6" w:rsidRDefault="00EC7EB0" w:rsidP="00EC7EB0">
      <w:pPr>
        <w:spacing w:before="240"/>
        <w:jc w:val="center"/>
        <w:rPr>
          <w:rFonts w:ascii="Times New Roman" w:hAnsi="Times New Roman" w:cs="Times New Roman"/>
          <w:noProof/>
        </w:rPr>
      </w:pPr>
      <w:r>
        <w:rPr>
          <w:rFonts w:asciiTheme="majorBidi" w:hAnsiTheme="majorBidi" w:cstheme="majorBidi"/>
          <w:noProof/>
          <w:lang w:eastAsia="fr-FR"/>
        </w:rPr>
        <w:t>heres de simulatin</w:t>
      </w:r>
      <w:r w:rsidR="002F0AC6">
        <w:rPr>
          <w:rFonts w:asciiTheme="majorBidi" w:hAnsiTheme="majorBidi" w:cstheme="majorBidi"/>
          <w:noProof/>
          <w:lang w:eastAsia="fr-FR"/>
        </w:rPr>
        <w:t>)</w:t>
      </w:r>
    </w:p>
    <w:p w:rsidR="002F0AC6" w:rsidRPr="00DB7796" w:rsidRDefault="002F0AC6" w:rsidP="002F0AC6">
      <w:pPr>
        <w:spacing w:before="240"/>
        <w:rPr>
          <w:rFonts w:ascii="Times New Roman" w:hAnsi="Times New Roman" w:cs="Times New Roman"/>
          <w:noProof/>
        </w:rPr>
      </w:pPr>
    </w:p>
    <w:p w:rsidR="002F0AC6" w:rsidRPr="00F665CC" w:rsidRDefault="002F0AC6" w:rsidP="002F0AC6">
      <w:pPr>
        <w:ind w:firstLine="708"/>
        <w:rPr>
          <w:rFonts w:ascii="Times New Roman" w:hAnsi="Times New Roman" w:cs="Times New Roman"/>
        </w:rPr>
      </w:pPr>
      <w:r>
        <w:rPr>
          <w:rFonts w:ascii="Times New Roman" w:hAnsi="Times New Roman" w:cs="Times New Roman"/>
          <w:noProof/>
          <w:lang w:eastAsia="fr-FR"/>
        </w:rPr>
        <w:lastRenderedPageBreak/>
        <w:drawing>
          <wp:inline distT="0" distB="0" distL="0" distR="0">
            <wp:extent cx="5022505" cy="3240000"/>
            <wp:effectExtent l="19050" t="0" r="6695" b="0"/>
            <wp:docPr id="28"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srcRect/>
                    <a:stretch>
                      <a:fillRect/>
                    </a:stretch>
                  </pic:blipFill>
                  <pic:spPr bwMode="auto">
                    <a:xfrm>
                      <a:off x="0" y="0"/>
                      <a:ext cx="5022505" cy="3240000"/>
                    </a:xfrm>
                    <a:prstGeom prst="rect">
                      <a:avLst/>
                    </a:prstGeom>
                    <a:noFill/>
                    <a:ln w="9525">
                      <a:noFill/>
                      <a:miter lim="800000"/>
                      <a:headEnd/>
                      <a:tailEnd/>
                    </a:ln>
                  </pic:spPr>
                </pic:pic>
              </a:graphicData>
            </a:graphic>
          </wp:inline>
        </w:drawing>
      </w:r>
    </w:p>
    <w:p w:rsidR="002F0AC6" w:rsidRDefault="002F0AC6" w:rsidP="002F0AC6">
      <w:pPr>
        <w:autoSpaceDE w:val="0"/>
        <w:autoSpaceDN w:val="0"/>
        <w:adjustRightInd w:val="0"/>
        <w:spacing w:before="240" w:after="0" w:line="360" w:lineRule="auto"/>
        <w:jc w:val="center"/>
        <w:rPr>
          <w:rFonts w:asciiTheme="majorBidi" w:hAnsiTheme="majorBidi" w:cstheme="majorBidi"/>
        </w:rPr>
      </w:pPr>
      <w:r w:rsidRPr="00BD6307">
        <w:rPr>
          <w:rFonts w:asciiTheme="majorBidi" w:hAnsiTheme="majorBidi" w:cstheme="majorBidi"/>
          <w:b/>
          <w:bCs/>
        </w:rPr>
        <w:t>Figure</w:t>
      </w:r>
      <w:r w:rsidRPr="00BD6307">
        <w:rPr>
          <w:rFonts w:ascii="Times New Roman" w:hAnsi="Times New Roman" w:cs="Times New Roman"/>
          <w:b/>
          <w:bCs/>
        </w:rPr>
        <w:t xml:space="preserve"> V</w:t>
      </w:r>
      <w:r w:rsidR="00371892">
        <w:rPr>
          <w:rFonts w:asciiTheme="majorBidi" w:hAnsiTheme="majorBidi" w:cstheme="majorBidi"/>
          <w:b/>
          <w:bCs/>
        </w:rPr>
        <w:t xml:space="preserve"> .7</w:t>
      </w:r>
      <w:r w:rsidRPr="00BD6307">
        <w:rPr>
          <w:rFonts w:asciiTheme="majorBidi" w:hAnsiTheme="majorBidi" w:cstheme="majorBidi"/>
          <w:b/>
          <w:bCs/>
        </w:rPr>
        <w:t>:</w:t>
      </w:r>
      <w:r w:rsidRPr="000B7050">
        <w:rPr>
          <w:rFonts w:asciiTheme="majorBidi" w:hAnsiTheme="majorBidi" w:cstheme="majorBidi"/>
        </w:rPr>
        <w:t>Courbe iso hauteur dans le bloc parallélépipédique de sable</w:t>
      </w:r>
    </w:p>
    <w:p w:rsidR="00EC7EB0" w:rsidRDefault="00EC7EB0" w:rsidP="002F0AC6">
      <w:pPr>
        <w:autoSpaceDE w:val="0"/>
        <w:autoSpaceDN w:val="0"/>
        <w:adjustRightInd w:val="0"/>
        <w:spacing w:before="240" w:after="0" w:line="360" w:lineRule="auto"/>
        <w:jc w:val="center"/>
        <w:rPr>
          <w:rFonts w:asciiTheme="majorBidi" w:hAnsiTheme="majorBidi" w:cstheme="majorBidi"/>
        </w:rPr>
      </w:pPr>
      <w:r>
        <w:rPr>
          <w:rFonts w:asciiTheme="majorBidi" w:hAnsiTheme="majorBidi" w:cstheme="majorBidi"/>
        </w:rPr>
        <w:t>(après 10 heures de simulation)</w:t>
      </w:r>
    </w:p>
    <w:p w:rsidR="00EC7EB0" w:rsidRPr="00962417" w:rsidRDefault="00EC7EB0" w:rsidP="00EC7EB0">
      <w:pPr>
        <w:autoSpaceDE w:val="0"/>
        <w:autoSpaceDN w:val="0"/>
        <w:adjustRightInd w:val="0"/>
        <w:spacing w:before="240" w:after="0" w:line="360" w:lineRule="auto"/>
        <w:rPr>
          <w:rFonts w:ascii="Times New Roman" w:hAnsi="Times New Roman" w:cs="Times New Roman"/>
          <w:noProof/>
        </w:rPr>
      </w:pPr>
      <w:r>
        <w:rPr>
          <w:rFonts w:asciiTheme="majorBidi" w:hAnsiTheme="majorBidi" w:cstheme="majorBidi"/>
        </w:rPr>
        <w:t xml:space="preserve">L’évolution de la  hauteur d’eau dans  la nappe en fonction du temps </w:t>
      </w:r>
      <w:r w:rsidR="008111D1">
        <w:rPr>
          <w:rFonts w:asciiTheme="majorBidi" w:hAnsiTheme="majorBidi" w:cstheme="majorBidi"/>
        </w:rPr>
        <w:t xml:space="preserve">aux  niveaux des sondes (M1,M2, M3et M4) est représentée sur la figure ci-dessous.  </w:t>
      </w:r>
      <w:r>
        <w:rPr>
          <w:rFonts w:asciiTheme="majorBidi" w:hAnsiTheme="majorBidi" w:cstheme="majorBidi"/>
        </w:rPr>
        <w:t xml:space="preserve"> </w:t>
      </w:r>
    </w:p>
    <w:p w:rsidR="002F0AC6" w:rsidRDefault="002F0AC6" w:rsidP="008111D1">
      <w:pPr>
        <w:autoSpaceDE w:val="0"/>
        <w:autoSpaceDN w:val="0"/>
        <w:adjustRightInd w:val="0"/>
        <w:spacing w:before="240" w:after="0" w:line="360" w:lineRule="auto"/>
        <w:jc w:val="center"/>
        <w:rPr>
          <w:rFonts w:ascii="Times New Roman" w:hAnsi="Times New Roman" w:cs="Times New Roman"/>
        </w:rPr>
      </w:pPr>
      <w:r>
        <w:rPr>
          <w:rFonts w:ascii="Times New Roman" w:hAnsi="Times New Roman" w:cs="Times New Roman"/>
          <w:noProof/>
          <w:lang w:eastAsia="fr-FR"/>
        </w:rPr>
        <w:drawing>
          <wp:inline distT="0" distB="0" distL="0" distR="0">
            <wp:extent cx="3946576" cy="3780000"/>
            <wp:effectExtent l="0" t="0" r="0" b="0"/>
            <wp:docPr id="29"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stretch>
                      <a:fillRect/>
                    </a:stretch>
                  </pic:blipFill>
                  <pic:spPr bwMode="auto">
                    <a:xfrm>
                      <a:off x="0" y="0"/>
                      <a:ext cx="3946576" cy="3780000"/>
                    </a:xfrm>
                    <a:prstGeom prst="rect">
                      <a:avLst/>
                    </a:prstGeom>
                    <a:noFill/>
                    <a:ln w="9525">
                      <a:noFill/>
                      <a:miter lim="800000"/>
                      <a:headEnd/>
                      <a:tailEnd/>
                    </a:ln>
                  </pic:spPr>
                </pic:pic>
              </a:graphicData>
            </a:graphic>
          </wp:inline>
        </w:drawing>
      </w:r>
    </w:p>
    <w:p w:rsidR="002F0AC6" w:rsidRPr="00962417" w:rsidRDefault="002F0AC6" w:rsidP="002F0AC6">
      <w:pPr>
        <w:autoSpaceDE w:val="0"/>
        <w:autoSpaceDN w:val="0"/>
        <w:adjustRightInd w:val="0"/>
        <w:spacing w:after="0" w:line="360" w:lineRule="auto"/>
        <w:jc w:val="center"/>
        <w:rPr>
          <w:rFonts w:ascii="Times New Roman" w:hAnsi="Times New Roman" w:cs="Times New Roman"/>
          <w:noProof/>
        </w:rPr>
      </w:pPr>
      <w:r w:rsidRPr="00BD6307">
        <w:rPr>
          <w:rFonts w:asciiTheme="majorBidi" w:hAnsiTheme="majorBidi" w:cstheme="majorBidi"/>
          <w:b/>
          <w:bCs/>
        </w:rPr>
        <w:t>Figure</w:t>
      </w:r>
      <w:r w:rsidRPr="00BD6307">
        <w:rPr>
          <w:rFonts w:ascii="Times New Roman" w:hAnsi="Times New Roman" w:cs="Times New Roman"/>
          <w:b/>
          <w:bCs/>
        </w:rPr>
        <w:t xml:space="preserve"> V</w:t>
      </w:r>
      <w:r w:rsidR="008111D1">
        <w:rPr>
          <w:rFonts w:asciiTheme="majorBidi" w:hAnsiTheme="majorBidi" w:cstheme="majorBidi"/>
          <w:b/>
          <w:bCs/>
        </w:rPr>
        <w:t xml:space="preserve"> .8</w:t>
      </w:r>
      <w:r w:rsidRPr="00C55D3E">
        <w:rPr>
          <w:rFonts w:asciiTheme="majorBidi" w:hAnsiTheme="majorBidi" w:cstheme="majorBidi"/>
          <w:b/>
          <w:bCs/>
        </w:rPr>
        <w:t>:</w:t>
      </w:r>
      <w:r w:rsidRPr="001462E5">
        <w:rPr>
          <w:rFonts w:asciiTheme="majorBidi" w:hAnsiTheme="majorBidi" w:cstheme="majorBidi"/>
          <w:b/>
          <w:bCs/>
          <w:i/>
          <w:iCs/>
          <w:lang w:bidi="ar-DZ"/>
        </w:rPr>
        <w:t xml:space="preserve"> </w:t>
      </w:r>
      <w:r w:rsidR="008111D1">
        <w:rPr>
          <w:rFonts w:ascii="Times New Roman" w:hAnsi="Times New Roman" w:cs="Times New Roman"/>
        </w:rPr>
        <w:t>E</w:t>
      </w:r>
      <w:r w:rsidRPr="001C0B95">
        <w:rPr>
          <w:rFonts w:ascii="Times New Roman" w:hAnsi="Times New Roman" w:cs="Times New Roman"/>
        </w:rPr>
        <w:t xml:space="preserve">volution de la hauteur d’eau dans la </w:t>
      </w:r>
      <w:r>
        <w:rPr>
          <w:rFonts w:ascii="Times New Roman" w:hAnsi="Times New Roman" w:cs="Times New Roman"/>
        </w:rPr>
        <w:t xml:space="preserve">nappe </w:t>
      </w:r>
      <w:r w:rsidRPr="001C0B95">
        <w:rPr>
          <w:rFonts w:ascii="Times New Roman" w:hAnsi="Times New Roman" w:cs="Times New Roman"/>
        </w:rPr>
        <w:t>en fonction du temps.</w:t>
      </w:r>
    </w:p>
    <w:p w:rsidR="008111D1" w:rsidRDefault="008111D1" w:rsidP="002F0AC6">
      <w:pPr>
        <w:autoSpaceDE w:val="0"/>
        <w:autoSpaceDN w:val="0"/>
        <w:adjustRightInd w:val="0"/>
        <w:spacing w:after="0" w:line="360" w:lineRule="auto"/>
        <w:jc w:val="center"/>
        <w:rPr>
          <w:rFonts w:ascii="Times New Roman" w:hAnsi="Times New Roman" w:cs="Times New Roman"/>
          <w:noProof/>
          <w:lang w:eastAsia="fr-FR"/>
        </w:rPr>
      </w:pPr>
    </w:p>
    <w:p w:rsidR="008111D1" w:rsidRDefault="008111D1" w:rsidP="008111D1">
      <w:pPr>
        <w:autoSpaceDE w:val="0"/>
        <w:autoSpaceDN w:val="0"/>
        <w:adjustRightInd w:val="0"/>
        <w:spacing w:after="0" w:line="360" w:lineRule="auto"/>
        <w:rPr>
          <w:rFonts w:ascii="Times New Roman" w:hAnsi="Times New Roman" w:cs="Times New Roman"/>
          <w:noProof/>
          <w:lang w:eastAsia="fr-FR"/>
        </w:rPr>
      </w:pPr>
      <w:r>
        <w:rPr>
          <w:rFonts w:ascii="Times New Roman" w:hAnsi="Times New Roman" w:cs="Times New Roman"/>
          <w:noProof/>
          <w:lang w:eastAsia="fr-FR"/>
        </w:rPr>
        <w:t xml:space="preserve">Pour visualiser effet du pompage sur la nappe on trace la courbe de la hauteur piézométrique dans le plan longitudinale de la nappe au point de pompage </w:t>
      </w:r>
      <w:r w:rsidR="0059508A">
        <w:rPr>
          <w:rFonts w:ascii="Times New Roman" w:hAnsi="Times New Roman" w:cs="Times New Roman"/>
          <w:noProof/>
          <w:lang w:eastAsia="fr-FR"/>
        </w:rPr>
        <w:t>(V.9)</w:t>
      </w:r>
      <w:r>
        <w:rPr>
          <w:rFonts w:ascii="Times New Roman" w:hAnsi="Times New Roman" w:cs="Times New Roman"/>
          <w:noProof/>
          <w:lang w:eastAsia="fr-FR"/>
        </w:rPr>
        <w:t>.</w:t>
      </w:r>
    </w:p>
    <w:p w:rsidR="002F0AC6" w:rsidRDefault="002F0AC6" w:rsidP="002F0AC6">
      <w:pPr>
        <w:autoSpaceDE w:val="0"/>
        <w:autoSpaceDN w:val="0"/>
        <w:adjustRightInd w:val="0"/>
        <w:spacing w:after="0" w:line="360" w:lineRule="auto"/>
        <w:jc w:val="center"/>
        <w:rPr>
          <w:rFonts w:ascii="Times New Roman" w:hAnsi="Times New Roman" w:cs="Times New Roman"/>
          <w:noProof/>
          <w:lang w:val="en-US"/>
        </w:rPr>
      </w:pPr>
      <w:r>
        <w:rPr>
          <w:rFonts w:ascii="Times New Roman" w:hAnsi="Times New Roman" w:cs="Times New Roman"/>
          <w:noProof/>
          <w:lang w:eastAsia="fr-FR"/>
        </w:rPr>
        <w:drawing>
          <wp:inline distT="0" distB="0" distL="0" distR="0">
            <wp:extent cx="4320000" cy="2833819"/>
            <wp:effectExtent l="19050" t="0" r="4350" b="0"/>
            <wp:docPr id="31"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stretch>
                      <a:fillRect/>
                    </a:stretch>
                  </pic:blipFill>
                  <pic:spPr bwMode="auto">
                    <a:xfrm>
                      <a:off x="0" y="0"/>
                      <a:ext cx="4320000" cy="2833819"/>
                    </a:xfrm>
                    <a:prstGeom prst="rect">
                      <a:avLst/>
                    </a:prstGeom>
                    <a:noFill/>
                    <a:ln w="9525">
                      <a:noFill/>
                      <a:miter lim="800000"/>
                      <a:headEnd/>
                      <a:tailEnd/>
                    </a:ln>
                  </pic:spPr>
                </pic:pic>
              </a:graphicData>
            </a:graphic>
          </wp:inline>
        </w:drawing>
      </w:r>
    </w:p>
    <w:p w:rsidR="002F0AC6" w:rsidRPr="00962417" w:rsidRDefault="0059508A" w:rsidP="002F0AC6">
      <w:pPr>
        <w:spacing w:before="240"/>
        <w:rPr>
          <w:rFonts w:ascii="Times New Roman" w:hAnsi="Times New Roman" w:cs="Times New Roman"/>
        </w:rPr>
      </w:pPr>
      <w:r w:rsidRPr="0059508A">
        <w:rPr>
          <w:rFonts w:ascii="Times New Roman" w:hAnsi="Times New Roman" w:cs="Times New Roman"/>
          <w:b/>
          <w:bCs/>
        </w:rPr>
        <w:t>F</w:t>
      </w:r>
      <w:r w:rsidR="002F0AC6" w:rsidRPr="00D566B5">
        <w:rPr>
          <w:rFonts w:ascii="Times New Roman" w:hAnsi="Times New Roman" w:cs="Times New Roman"/>
          <w:b/>
          <w:bCs/>
        </w:rPr>
        <w:t>igure V</w:t>
      </w:r>
      <w:r>
        <w:rPr>
          <w:rFonts w:ascii="Times New Roman" w:hAnsi="Times New Roman" w:cs="Times New Roman"/>
          <w:b/>
          <w:bCs/>
        </w:rPr>
        <w:t>.9</w:t>
      </w:r>
      <w:r w:rsidR="002F0AC6" w:rsidRPr="00654721">
        <w:rPr>
          <w:rFonts w:asciiTheme="majorBidi" w:hAnsiTheme="majorBidi" w:cstheme="majorBidi"/>
        </w:rPr>
        <w:t xml:space="preserve"> </w:t>
      </w:r>
      <w:r>
        <w:rPr>
          <w:rFonts w:ascii="Times New Roman" w:hAnsi="Times New Roman" w:cs="Times New Roman"/>
        </w:rPr>
        <w:t>H</w:t>
      </w:r>
      <w:r w:rsidR="002F0AC6" w:rsidRPr="00654721">
        <w:rPr>
          <w:rFonts w:ascii="Times New Roman" w:hAnsi="Times New Roman" w:cs="Times New Roman"/>
        </w:rPr>
        <w:t>auteur piézométrique dans le plan longitudinal de la nappe</w:t>
      </w:r>
      <w:r w:rsidR="002F0AC6" w:rsidRPr="00654721">
        <w:rPr>
          <w:rFonts w:asciiTheme="majorBidi" w:hAnsiTheme="majorBidi" w:cstheme="majorBidi"/>
        </w:rPr>
        <w:t xml:space="preserve"> au </w:t>
      </w:r>
      <w:r w:rsidR="002F0AC6">
        <w:rPr>
          <w:rFonts w:asciiTheme="majorBidi" w:hAnsiTheme="majorBidi" w:cstheme="majorBidi"/>
        </w:rPr>
        <w:t xml:space="preserve">point de </w:t>
      </w:r>
      <w:r w:rsidR="002F0AC6" w:rsidRPr="00654721">
        <w:rPr>
          <w:rFonts w:asciiTheme="majorBidi" w:hAnsiTheme="majorBidi" w:cstheme="majorBidi"/>
        </w:rPr>
        <w:t>pompage</w:t>
      </w:r>
      <w:r w:rsidR="002F0AC6" w:rsidRPr="00654721">
        <w:rPr>
          <w:rFonts w:ascii="Times New Roman" w:hAnsi="Times New Roman" w:cs="Times New Roman"/>
        </w:rPr>
        <w:t>.</w:t>
      </w:r>
    </w:p>
    <w:p w:rsidR="002F0AC6" w:rsidRPr="008E3990" w:rsidRDefault="002F0AC6" w:rsidP="002F0AC6">
      <w:pPr>
        <w:spacing w:before="240" w:line="360" w:lineRule="auto"/>
        <w:ind w:firstLine="709"/>
      </w:pPr>
      <w:r w:rsidRPr="008E3990">
        <w:rPr>
          <w:rStyle w:val="hps"/>
          <w:rFonts w:asciiTheme="majorBidi" w:hAnsiTheme="majorBidi" w:cstheme="majorBidi"/>
          <w:sz w:val="24"/>
          <w:szCs w:val="24"/>
        </w:rPr>
        <w:t xml:space="preserve">Après deux heures de pompage </w:t>
      </w:r>
      <w:r w:rsidR="0059508A">
        <w:rPr>
          <w:rStyle w:val="hps"/>
          <w:rFonts w:asciiTheme="majorBidi" w:hAnsiTheme="majorBidi" w:cstheme="majorBidi"/>
          <w:sz w:val="24"/>
          <w:szCs w:val="24"/>
        </w:rPr>
        <w:t>on observe</w:t>
      </w:r>
      <w:r w:rsidRPr="008E3990">
        <w:rPr>
          <w:rFonts w:asciiTheme="majorBidi" w:hAnsiTheme="majorBidi" w:cstheme="majorBidi"/>
          <w:sz w:val="24"/>
          <w:szCs w:val="24"/>
        </w:rPr>
        <w:t xml:space="preserve"> </w:t>
      </w:r>
      <w:r w:rsidRPr="008E3990">
        <w:rPr>
          <w:rStyle w:val="hps"/>
          <w:rFonts w:asciiTheme="majorBidi" w:hAnsiTheme="majorBidi" w:cstheme="majorBidi"/>
          <w:sz w:val="24"/>
          <w:szCs w:val="24"/>
        </w:rPr>
        <w:t>un état d'équilibre</w:t>
      </w:r>
      <w:r w:rsidR="0059508A">
        <w:rPr>
          <w:rStyle w:val="hps"/>
          <w:rFonts w:asciiTheme="majorBidi" w:hAnsiTheme="majorBidi" w:cstheme="majorBidi"/>
          <w:sz w:val="24"/>
          <w:szCs w:val="24"/>
        </w:rPr>
        <w:t>, qui</w:t>
      </w:r>
      <w:r w:rsidRPr="008E3990">
        <w:rPr>
          <w:rFonts w:asciiTheme="majorBidi" w:hAnsiTheme="majorBidi" w:cstheme="majorBidi"/>
          <w:sz w:val="24"/>
          <w:szCs w:val="24"/>
        </w:rPr>
        <w:t xml:space="preserve"> </w:t>
      </w:r>
      <w:r w:rsidRPr="008E3990">
        <w:rPr>
          <w:rStyle w:val="hps"/>
          <w:rFonts w:asciiTheme="majorBidi" w:hAnsiTheme="majorBidi" w:cstheme="majorBidi"/>
          <w:sz w:val="24"/>
          <w:szCs w:val="24"/>
        </w:rPr>
        <w:t>signifie que le système</w:t>
      </w:r>
      <w:r w:rsidRPr="008E3990">
        <w:rPr>
          <w:rFonts w:asciiTheme="majorBidi" w:hAnsiTheme="majorBidi" w:cstheme="majorBidi"/>
          <w:sz w:val="24"/>
          <w:szCs w:val="24"/>
        </w:rPr>
        <w:t xml:space="preserve"> en régime permanent</w:t>
      </w:r>
      <w:r>
        <w:rPr>
          <w:rStyle w:val="hps"/>
        </w:rPr>
        <w:t>.</w:t>
      </w:r>
      <w:r w:rsidRPr="008E3990">
        <w:rPr>
          <w:rStyle w:val="hps"/>
        </w:rPr>
        <w:t xml:space="preserve"> </w:t>
      </w:r>
    </w:p>
    <w:p w:rsidR="002F0AC6" w:rsidRPr="0059508A" w:rsidRDefault="002F0AC6" w:rsidP="002F0AC6">
      <w:pPr>
        <w:autoSpaceDE w:val="0"/>
        <w:autoSpaceDN w:val="0"/>
        <w:adjustRightInd w:val="0"/>
        <w:spacing w:after="0" w:line="360" w:lineRule="auto"/>
        <w:jc w:val="both"/>
        <w:rPr>
          <w:rFonts w:ascii="Times New Roman" w:hAnsi="Times New Roman" w:cs="Times New Roman"/>
          <w:b/>
          <w:bCs/>
          <w:sz w:val="24"/>
          <w:szCs w:val="24"/>
        </w:rPr>
      </w:pPr>
      <w:r w:rsidRPr="00DB7796">
        <w:rPr>
          <w:rFonts w:ascii="Times New Roman" w:hAnsi="Times New Roman" w:cs="Times New Roman"/>
          <w:b/>
          <w:bCs/>
          <w:sz w:val="24"/>
          <w:szCs w:val="24"/>
        </w:rPr>
        <w:t>V</w:t>
      </w:r>
      <w:r w:rsidRPr="00DB7796">
        <w:rPr>
          <w:rFonts w:asciiTheme="majorBidi" w:hAnsiTheme="majorBidi" w:cstheme="majorBidi"/>
          <w:b/>
          <w:bCs/>
          <w:sz w:val="24"/>
          <w:szCs w:val="24"/>
        </w:rPr>
        <w:t xml:space="preserve"> .2.1.</w:t>
      </w:r>
      <w:r w:rsidR="0059508A">
        <w:rPr>
          <w:rFonts w:asciiTheme="majorBidi" w:hAnsiTheme="majorBidi" w:cstheme="majorBidi"/>
          <w:b/>
          <w:bCs/>
          <w:sz w:val="24"/>
          <w:szCs w:val="24"/>
        </w:rPr>
        <w:t>B</w:t>
      </w:r>
      <w:r w:rsidRPr="00DB7796">
        <w:rPr>
          <w:rFonts w:ascii="Times New Roman" w:hAnsi="Times New Roman" w:cs="Times New Roman"/>
          <w:b/>
          <w:bCs/>
          <w:sz w:val="24"/>
          <w:szCs w:val="24"/>
        </w:rPr>
        <w:t>.</w:t>
      </w:r>
      <w:r w:rsidR="0059508A">
        <w:rPr>
          <w:rFonts w:ascii="Times New Roman" w:hAnsi="Times New Roman" w:cs="Times New Roman"/>
          <w:b/>
          <w:bCs/>
          <w:sz w:val="24"/>
          <w:szCs w:val="24"/>
        </w:rPr>
        <w:t>Pompage par</w:t>
      </w:r>
      <w:r w:rsidRPr="00DB7796">
        <w:rPr>
          <w:rFonts w:ascii="Times New Roman" w:hAnsi="Times New Roman" w:cs="Times New Roman"/>
          <w:b/>
          <w:bCs/>
          <w:sz w:val="24"/>
          <w:szCs w:val="24"/>
        </w:rPr>
        <w:t xml:space="preserve"> puits de </w:t>
      </w:r>
      <w:r>
        <w:rPr>
          <w:rFonts w:ascii="Times New Roman" w:hAnsi="Times New Roman" w:cs="Times New Roman"/>
          <w:b/>
          <w:bCs/>
          <w:sz w:val="24"/>
          <w:szCs w:val="24"/>
        </w:rPr>
        <w:t>grand</w:t>
      </w:r>
      <w:r w:rsidRPr="00DB7796">
        <w:rPr>
          <w:rFonts w:ascii="Times New Roman" w:hAnsi="Times New Roman" w:cs="Times New Roman"/>
          <w:b/>
          <w:bCs/>
          <w:sz w:val="24"/>
          <w:szCs w:val="24"/>
        </w:rPr>
        <w:t xml:space="preserve"> section:</w:t>
      </w:r>
    </w:p>
    <w:p w:rsidR="002F0AC6" w:rsidRPr="008602AF" w:rsidRDefault="0059508A" w:rsidP="008602AF">
      <w:pPr>
        <w:autoSpaceDE w:val="0"/>
        <w:autoSpaceDN w:val="0"/>
        <w:adjustRightInd w:val="0"/>
        <w:spacing w:after="0" w:line="360" w:lineRule="auto"/>
        <w:jc w:val="both"/>
        <w:rPr>
          <w:rFonts w:ascii="Times New Roman" w:hAnsi="Times New Roman" w:cs="Times New Roman"/>
        </w:rPr>
      </w:pPr>
      <w:r>
        <w:rPr>
          <w:rFonts w:ascii="Times New Roman" w:hAnsi="Times New Roman" w:cs="Times New Roman"/>
        </w:rPr>
        <w:t xml:space="preserve">Les dimensions de la nappe </w:t>
      </w:r>
      <w:r w:rsidR="002F0AC6">
        <w:rPr>
          <w:rFonts w:ascii="Times New Roman" w:hAnsi="Times New Roman" w:cs="Times New Roman"/>
        </w:rPr>
        <w:t xml:space="preserve"> sont de 10 m en hauteur, 100 m en largeur et 100</w:t>
      </w:r>
      <w:r>
        <w:rPr>
          <w:rFonts w:ascii="Times New Roman" w:hAnsi="Times New Roman" w:cs="Times New Roman"/>
        </w:rPr>
        <w:t xml:space="preserve"> m en longueur. un puit</w:t>
      </w:r>
      <w:r w:rsidR="002F0AC6">
        <w:rPr>
          <w:rFonts w:ascii="Times New Roman" w:hAnsi="Times New Roman" w:cs="Times New Roman"/>
        </w:rPr>
        <w:t xml:space="preserve"> d’une section circulaire de 100 cm de diamètre est positionné à x = 50 m et y = 50m, et un débit constant de 0,6 m</w:t>
      </w:r>
      <w:r w:rsidR="002F0AC6">
        <w:rPr>
          <w:rFonts w:ascii="Times New Roman" w:hAnsi="Times New Roman" w:cs="Times New Roman"/>
          <w:sz w:val="14"/>
          <w:szCs w:val="14"/>
        </w:rPr>
        <w:t>3</w:t>
      </w:r>
      <w:r w:rsidR="002F0AC6">
        <w:rPr>
          <w:rFonts w:ascii="Times New Roman" w:hAnsi="Times New Roman" w:cs="Times New Roman"/>
        </w:rPr>
        <w:t>/s est imposé</w:t>
      </w:r>
      <w:r w:rsidR="002F0AC6" w:rsidRPr="002E042E">
        <w:rPr>
          <w:rFonts w:ascii="Times New Roman" w:hAnsi="Times New Roman" w:cs="Times New Roman"/>
        </w:rPr>
        <w:t xml:space="preserve">. </w:t>
      </w:r>
      <w:r>
        <w:rPr>
          <w:rFonts w:ascii="Times New Roman" w:hAnsi="Times New Roman" w:cs="Times New Roman"/>
        </w:rPr>
        <w:t xml:space="preserve">Le coefficient de perméabilités </w:t>
      </w:r>
      <w:r w:rsidR="002F0AC6" w:rsidRPr="00A34C9D">
        <w:rPr>
          <w:rFonts w:ascii="Times New Roman" w:hAnsi="Times New Roman" w:cs="Times New Roman"/>
          <w:sz w:val="24"/>
          <w:szCs w:val="24"/>
        </w:rPr>
        <w:t>K</w:t>
      </w:r>
      <w:r w:rsidR="002F0AC6">
        <w:rPr>
          <w:rFonts w:ascii="Times New Roman" w:hAnsi="Times New Roman" w:cs="Times New Roman"/>
          <w:sz w:val="24"/>
          <w:szCs w:val="24"/>
        </w:rPr>
        <w:t xml:space="preserve"> =  0.0</w:t>
      </w:r>
      <w:r w:rsidR="002F0AC6" w:rsidRPr="00A34C9D">
        <w:rPr>
          <w:rFonts w:ascii="Times New Roman" w:hAnsi="Times New Roman" w:cs="Times New Roman"/>
          <w:sz w:val="24"/>
          <w:szCs w:val="24"/>
        </w:rPr>
        <w:t xml:space="preserve">1 m/s </w:t>
      </w:r>
      <w:r w:rsidR="002F0AC6">
        <w:rPr>
          <w:rFonts w:ascii="Times New Roman" w:hAnsi="Times New Roman" w:cs="Times New Roman"/>
          <w:sz w:val="24"/>
          <w:szCs w:val="24"/>
        </w:rPr>
        <w:t>Coefficient d’emmagasinement S=</w:t>
      </w:r>
      <w:r w:rsidR="002F0AC6" w:rsidRPr="00A34C9D">
        <w:rPr>
          <w:rFonts w:ascii="Times New Roman" w:hAnsi="Times New Roman" w:cs="Times New Roman"/>
          <w:sz w:val="24"/>
          <w:szCs w:val="24"/>
        </w:rPr>
        <w:t xml:space="preserve"> 0,1</w:t>
      </w:r>
      <w:r>
        <w:rPr>
          <w:rFonts w:ascii="Times New Roman" w:hAnsi="Times New Roman" w:cs="Times New Roman"/>
        </w:rPr>
        <w:t xml:space="preserve">. </w:t>
      </w:r>
      <w:r w:rsidR="002F0AC6" w:rsidRPr="009857BA">
        <w:rPr>
          <w:rFonts w:asciiTheme="majorBidi" w:hAnsiTheme="majorBidi" w:cstheme="majorBidi"/>
          <w:sz w:val="24"/>
          <w:szCs w:val="24"/>
        </w:rPr>
        <w:t>L'aquif</w:t>
      </w:r>
      <w:r>
        <w:rPr>
          <w:rFonts w:asciiTheme="majorBidi" w:hAnsiTheme="majorBidi" w:cstheme="majorBidi"/>
          <w:sz w:val="24"/>
          <w:szCs w:val="24"/>
        </w:rPr>
        <w:t xml:space="preserve">ère considère est représenté </w:t>
      </w:r>
      <w:r w:rsidR="002F0AC6" w:rsidRPr="009857BA">
        <w:rPr>
          <w:rFonts w:asciiTheme="majorBidi" w:hAnsiTheme="majorBidi" w:cstheme="majorBidi"/>
          <w:sz w:val="24"/>
          <w:szCs w:val="24"/>
        </w:rPr>
        <w:t>en plan</w:t>
      </w:r>
      <w:r w:rsidR="002F0AC6">
        <w:rPr>
          <w:rFonts w:asciiTheme="majorBidi" w:hAnsiTheme="majorBidi" w:cstheme="majorBidi"/>
          <w:sz w:val="24"/>
          <w:szCs w:val="24"/>
        </w:rPr>
        <w:t xml:space="preserve"> </w:t>
      </w:r>
      <w:r>
        <w:rPr>
          <w:rFonts w:asciiTheme="majorBidi" w:hAnsiTheme="majorBidi" w:cstheme="majorBidi"/>
          <w:sz w:val="24"/>
          <w:szCs w:val="24"/>
        </w:rPr>
        <w:t>sur la</w:t>
      </w:r>
      <w:r w:rsidR="002F0AC6">
        <w:rPr>
          <w:rFonts w:asciiTheme="majorBidi" w:hAnsiTheme="majorBidi" w:cstheme="majorBidi"/>
          <w:sz w:val="24"/>
          <w:szCs w:val="24"/>
        </w:rPr>
        <w:t xml:space="preserve"> f</w:t>
      </w:r>
      <w:r w:rsidR="002F0AC6" w:rsidRPr="009857BA">
        <w:rPr>
          <w:rFonts w:asciiTheme="majorBidi" w:hAnsiTheme="majorBidi" w:cstheme="majorBidi"/>
          <w:sz w:val="24"/>
          <w:szCs w:val="24"/>
        </w:rPr>
        <w:t>igure</w:t>
      </w:r>
      <w:r>
        <w:rPr>
          <w:rFonts w:asciiTheme="majorBidi" w:hAnsiTheme="majorBidi" w:cstheme="majorBidi"/>
          <w:sz w:val="24"/>
          <w:szCs w:val="24"/>
        </w:rPr>
        <w:t xml:space="preserve"> (V.10)</w:t>
      </w:r>
      <w:r w:rsidR="002F0AC6">
        <w:rPr>
          <w:rFonts w:asciiTheme="majorBidi" w:hAnsiTheme="majorBidi" w:cstheme="majorBidi"/>
          <w:sz w:val="24"/>
          <w:szCs w:val="24"/>
        </w:rPr>
        <w:t>:</w:t>
      </w:r>
    </w:p>
    <w:p w:rsidR="002F0AC6" w:rsidRDefault="002F0AC6" w:rsidP="002F0AC6">
      <w:pPr>
        <w:tabs>
          <w:tab w:val="left" w:pos="2670"/>
        </w:tabs>
        <w:autoSpaceDE w:val="0"/>
        <w:autoSpaceDN w:val="0"/>
        <w:adjustRightInd w:val="0"/>
        <w:spacing w:after="0" w:line="240" w:lineRule="auto"/>
        <w:rPr>
          <w:rFonts w:ascii="Times New Roman" w:hAnsi="Times New Roman" w:cs="Times New Roman"/>
        </w:rPr>
      </w:pPr>
      <w:r w:rsidRPr="00C11E02">
        <w:rPr>
          <w:rFonts w:ascii="Times New Roman" w:hAnsi="Times New Roman" w:cs="Times New Roman"/>
          <w:noProof/>
          <w:lang w:eastAsia="fr-FR"/>
        </w:rPr>
        <w:drawing>
          <wp:inline distT="0" distB="0" distL="0" distR="0">
            <wp:extent cx="5508000" cy="2716144"/>
            <wp:effectExtent l="19050" t="0" r="0" b="0"/>
            <wp:docPr id="32"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srcRect/>
                    <a:stretch>
                      <a:fillRect/>
                    </a:stretch>
                  </pic:blipFill>
                  <pic:spPr bwMode="auto">
                    <a:xfrm>
                      <a:off x="0" y="0"/>
                      <a:ext cx="5508000" cy="2716144"/>
                    </a:xfrm>
                    <a:prstGeom prst="rect">
                      <a:avLst/>
                    </a:prstGeom>
                    <a:noFill/>
                    <a:ln w="9525">
                      <a:noFill/>
                      <a:miter lim="800000"/>
                      <a:headEnd/>
                      <a:tailEnd/>
                    </a:ln>
                  </pic:spPr>
                </pic:pic>
              </a:graphicData>
            </a:graphic>
          </wp:inline>
        </w:drawing>
      </w:r>
    </w:p>
    <w:p w:rsidR="002F0AC6" w:rsidRPr="009457CD" w:rsidRDefault="002F0AC6" w:rsidP="009457CD">
      <w:pPr>
        <w:tabs>
          <w:tab w:val="left" w:pos="3633"/>
        </w:tabs>
        <w:jc w:val="center"/>
        <w:rPr>
          <w:noProof/>
        </w:rPr>
      </w:pPr>
      <w:r w:rsidRPr="00BD6307">
        <w:rPr>
          <w:rFonts w:asciiTheme="majorBidi" w:hAnsiTheme="majorBidi" w:cstheme="majorBidi"/>
          <w:b/>
          <w:bCs/>
        </w:rPr>
        <w:t>Figure</w:t>
      </w:r>
      <w:r w:rsidRPr="00BD6307">
        <w:rPr>
          <w:rFonts w:ascii="Times New Roman" w:hAnsi="Times New Roman" w:cs="Times New Roman"/>
          <w:b/>
          <w:bCs/>
        </w:rPr>
        <w:t xml:space="preserve"> V</w:t>
      </w:r>
      <w:r w:rsidR="0059508A">
        <w:rPr>
          <w:rFonts w:asciiTheme="majorBidi" w:hAnsiTheme="majorBidi" w:cstheme="majorBidi"/>
          <w:b/>
          <w:bCs/>
        </w:rPr>
        <w:t xml:space="preserve"> .10</w:t>
      </w:r>
      <w:r w:rsidRPr="00BD6307">
        <w:rPr>
          <w:rFonts w:asciiTheme="majorBidi" w:hAnsiTheme="majorBidi" w:cstheme="majorBidi"/>
          <w:b/>
          <w:bCs/>
        </w:rPr>
        <w:t>:</w:t>
      </w:r>
      <w:r w:rsidR="008602AF">
        <w:rPr>
          <w:rFonts w:asciiTheme="majorBidi" w:hAnsiTheme="majorBidi" w:cstheme="majorBidi"/>
          <w:b/>
          <w:bCs/>
        </w:rPr>
        <w:t xml:space="preserve"> </w:t>
      </w:r>
      <w:r w:rsidR="00B27DDF">
        <w:rPr>
          <w:rFonts w:asciiTheme="majorBidi" w:hAnsiTheme="majorBidi" w:cstheme="majorBidi"/>
        </w:rPr>
        <w:t>G</w:t>
      </w:r>
      <w:r w:rsidRPr="00BD6307">
        <w:rPr>
          <w:rFonts w:asciiTheme="majorBidi" w:hAnsiTheme="majorBidi" w:cstheme="majorBidi"/>
        </w:rPr>
        <w:t xml:space="preserve">éométrie de Domaine </w:t>
      </w:r>
    </w:p>
    <w:p w:rsidR="002F0AC6" w:rsidRDefault="002F0AC6" w:rsidP="002F0AC6">
      <w:pPr>
        <w:tabs>
          <w:tab w:val="left" w:pos="2670"/>
        </w:tabs>
        <w:autoSpaceDE w:val="0"/>
        <w:autoSpaceDN w:val="0"/>
        <w:adjustRightInd w:val="0"/>
        <w:spacing w:after="0" w:line="240" w:lineRule="auto"/>
        <w:rPr>
          <w:rFonts w:ascii="Times New Roman" w:hAnsi="Times New Roman" w:cs="Times New Roman"/>
          <w:sz w:val="24"/>
          <w:szCs w:val="24"/>
        </w:rPr>
      </w:pPr>
    </w:p>
    <w:p w:rsidR="002F0AC6" w:rsidRPr="00DD4ADC" w:rsidRDefault="009457CD" w:rsidP="002F0AC6">
      <w:pPr>
        <w:tabs>
          <w:tab w:val="left" w:pos="2670"/>
        </w:tabs>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Le t</w:t>
      </w:r>
      <w:r w:rsidR="002F0AC6" w:rsidRPr="00DD4ADC">
        <w:rPr>
          <w:rFonts w:ascii="Times New Roman" w:hAnsi="Times New Roman" w:cs="Times New Roman"/>
          <w:sz w:val="24"/>
          <w:szCs w:val="24"/>
        </w:rPr>
        <w:t>raitement numérique des conditions du forage</w:t>
      </w:r>
      <w:r>
        <w:rPr>
          <w:rFonts w:ascii="Times New Roman" w:hAnsi="Times New Roman" w:cs="Times New Roman"/>
          <w:sz w:val="24"/>
          <w:szCs w:val="24"/>
        </w:rPr>
        <w:t xml:space="preserve"> est donné comme suit : </w:t>
      </w:r>
      <w:r w:rsidR="002F0AC6" w:rsidRPr="00DD4ADC">
        <w:rPr>
          <w:rFonts w:ascii="Times New Roman" w:hAnsi="Times New Roman" w:cs="Times New Roman"/>
          <w:sz w:val="24"/>
          <w:szCs w:val="24"/>
        </w:rPr>
        <w:t xml:space="preserve"> </w:t>
      </w:r>
    </w:p>
    <w:p w:rsidR="002F0AC6" w:rsidRPr="009457CD" w:rsidRDefault="001F4EA5" w:rsidP="009457CD">
      <w:pPr>
        <w:autoSpaceDE w:val="0"/>
        <w:autoSpaceDN w:val="0"/>
        <w:adjustRightInd w:val="0"/>
        <w:spacing w:before="240" w:after="0" w:line="360" w:lineRule="auto"/>
        <w:jc w:val="right"/>
        <w:rPr>
          <w:rFonts w:ascii="Times New Roman" w:eastAsiaTheme="minorEastAsia" w:hAnsi="Times New Roman" w:cs="Times New Roman"/>
          <w:b/>
          <w:bCs/>
          <w:sz w:val="28"/>
          <w:szCs w:val="28"/>
        </w:rPr>
      </w:pPr>
      <m:oMath>
        <m:sSub>
          <m:sSubPr>
            <m:ctrlPr>
              <w:rPr>
                <w:rFonts w:ascii="Cambria Math" w:hAnsi="Cambria Math" w:cs="Times New Roman"/>
                <w:b/>
                <w:bCs/>
                <w:i/>
                <w:sz w:val="28"/>
                <w:szCs w:val="28"/>
              </w:rPr>
            </m:ctrlPr>
          </m:sSubPr>
          <m:e>
            <m:r>
              <m:rPr>
                <m:sty m:val="bi"/>
              </m:rPr>
              <w:rPr>
                <w:rFonts w:ascii="Cambria Math" w:hAnsi="Cambria Math" w:cs="Times New Roman"/>
                <w:sz w:val="28"/>
                <w:szCs w:val="28"/>
              </w:rPr>
              <m:t>q</m:t>
            </m:r>
          </m:e>
          <m:sub>
            <m:r>
              <m:rPr>
                <m:sty m:val="bi"/>
              </m:rPr>
              <w:rPr>
                <w:rFonts w:ascii="Cambria Math" w:hAnsi="Cambria Math" w:cs="Times New Roman"/>
                <w:sz w:val="28"/>
                <w:szCs w:val="28"/>
              </w:rPr>
              <m:t>n</m:t>
            </m:r>
          </m:sub>
        </m:sSub>
        <m:r>
          <m:rPr>
            <m:sty m:val="bi"/>
          </m:rPr>
          <w:rPr>
            <w:rFonts w:ascii="Cambria Math" w:hAnsi="Cambria Math" w:cs="Times New Roman"/>
            <w:sz w:val="28"/>
            <w:szCs w:val="28"/>
          </w:rPr>
          <m:t>=</m:t>
        </m:r>
        <m:f>
          <m:fPr>
            <m:ctrlPr>
              <w:rPr>
                <w:rFonts w:ascii="Cambria Math" w:hAnsi="Cambria Math" w:cs="Times New Roman"/>
                <w:b/>
                <w:bCs/>
                <w:i/>
                <w:sz w:val="28"/>
                <w:szCs w:val="28"/>
              </w:rPr>
            </m:ctrlPr>
          </m:fPr>
          <m:num>
            <m:r>
              <m:rPr>
                <m:sty m:val="bi"/>
              </m:rPr>
              <w:rPr>
                <w:rFonts w:ascii="Cambria Math" w:hAnsi="Cambria Math" w:cs="Times New Roman"/>
                <w:sz w:val="28"/>
                <w:szCs w:val="28"/>
              </w:rPr>
              <m:t>-Q</m:t>
            </m:r>
          </m:num>
          <m:den>
            <m:r>
              <m:rPr>
                <m:sty m:val="bi"/>
              </m:rPr>
              <w:rPr>
                <w:rFonts w:ascii="Cambria Math" w:hAnsi="Cambria Math" w:cs="Times New Roman"/>
                <w:sz w:val="28"/>
                <w:szCs w:val="28"/>
              </w:rPr>
              <m:t>n</m:t>
            </m:r>
          </m:den>
        </m:f>
      </m:oMath>
      <w:r w:rsidR="009457CD" w:rsidRPr="009457CD">
        <w:rPr>
          <w:rFonts w:ascii="Times New Roman" w:eastAsiaTheme="minorEastAsia" w:hAnsi="Times New Roman" w:cs="Times New Roman"/>
          <w:b/>
          <w:bCs/>
          <w:sz w:val="28"/>
          <w:szCs w:val="28"/>
        </w:rPr>
        <w:t xml:space="preserve">                                                           (V.1)</w:t>
      </w:r>
    </w:p>
    <w:p w:rsidR="002F0AC6" w:rsidRDefault="002F0AC6" w:rsidP="009457CD">
      <w:pPr>
        <w:autoSpaceDE w:val="0"/>
        <w:autoSpaceDN w:val="0"/>
        <w:adjustRightInd w:val="0"/>
        <w:spacing w:before="240" w:after="0" w:line="240" w:lineRule="auto"/>
        <w:jc w:val="both"/>
        <w:rPr>
          <w:rFonts w:ascii="Times New Roman" w:hAnsi="Times New Roman" w:cs="Times New Roman"/>
          <w:sz w:val="26"/>
          <w:szCs w:val="26"/>
        </w:rPr>
      </w:pPr>
      <w:r>
        <w:rPr>
          <w:rFonts w:ascii="Times New Roman" w:hAnsi="Times New Roman" w:cs="Times New Roman"/>
          <w:sz w:val="26"/>
          <w:szCs w:val="26"/>
        </w:rPr>
        <w:t>Q : est le débit pompé ; le signe moins signifie que le débit est extrait ;</w:t>
      </w:r>
    </w:p>
    <w:p w:rsidR="002F0AC6" w:rsidRDefault="002F0AC6" w:rsidP="002F0AC6">
      <w:pPr>
        <w:tabs>
          <w:tab w:val="left" w:pos="2670"/>
        </w:tabs>
        <w:autoSpaceDE w:val="0"/>
        <w:autoSpaceDN w:val="0"/>
        <w:adjustRightInd w:val="0"/>
        <w:spacing w:after="0" w:line="240" w:lineRule="auto"/>
        <w:rPr>
          <w:rFonts w:ascii="Times New Roman" w:hAnsi="Times New Roman" w:cs="Times New Roman"/>
        </w:rPr>
      </w:pPr>
      <w:r>
        <w:rPr>
          <w:rFonts w:ascii="Times New Roman" w:hAnsi="Times New Roman" w:cs="Times New Roman"/>
          <w:sz w:val="26"/>
          <w:szCs w:val="26"/>
        </w:rPr>
        <w:t>n : est le nombre de nœuds se trouvant sur le mur du forage et au dessous de la surface libre de la nappe.</w:t>
      </w:r>
    </w:p>
    <w:p w:rsidR="002F0AC6" w:rsidRDefault="002F0AC6" w:rsidP="002F0AC6">
      <w:pPr>
        <w:tabs>
          <w:tab w:val="left" w:pos="2670"/>
        </w:tabs>
        <w:autoSpaceDE w:val="0"/>
        <w:autoSpaceDN w:val="0"/>
        <w:adjustRightInd w:val="0"/>
        <w:spacing w:after="0" w:line="240" w:lineRule="auto"/>
        <w:rPr>
          <w:rFonts w:ascii="Times New Roman" w:hAnsi="Times New Roman" w:cs="Times New Roman"/>
        </w:rPr>
      </w:pPr>
      <w:r w:rsidRPr="00117AE2">
        <w:rPr>
          <w:rFonts w:ascii="Times New Roman" w:hAnsi="Times New Roman" w:cs="Times New Roman"/>
          <w:sz w:val="24"/>
          <w:szCs w:val="24"/>
        </w:rPr>
        <w:t>Dans notre cas</w:t>
      </w:r>
      <w:r>
        <w:rPr>
          <w:rFonts w:ascii="Times New Roman" w:hAnsi="Times New Roman" w:cs="Times New Roman"/>
        </w:rPr>
        <w:t xml:space="preserve"> en prendre    </w:t>
      </w:r>
      <w:r>
        <w:rPr>
          <w:rFonts w:ascii="Times New Roman" w:hAnsi="Times New Roman" w:cs="Times New Roman"/>
          <w:sz w:val="26"/>
          <w:szCs w:val="26"/>
        </w:rPr>
        <w:t xml:space="preserve">n=5     </w:t>
      </w:r>
      <w:r>
        <w:rPr>
          <w:rFonts w:ascii="Times New Roman" w:hAnsi="Times New Roman" w:cs="Times New Roman"/>
        </w:rPr>
        <w:t xml:space="preserve">   dx=50cm   dy=50cm</w:t>
      </w:r>
    </w:p>
    <w:p w:rsidR="002F0AC6" w:rsidRPr="00676869" w:rsidRDefault="002F0AC6" w:rsidP="002F0AC6">
      <w:pPr>
        <w:tabs>
          <w:tab w:val="left" w:pos="2670"/>
        </w:tabs>
        <w:autoSpaceDE w:val="0"/>
        <w:autoSpaceDN w:val="0"/>
        <w:adjustRightInd w:val="0"/>
        <w:spacing w:after="0" w:line="240" w:lineRule="auto"/>
        <w:rPr>
          <w:rFonts w:ascii="Times New Roman" w:hAnsi="Times New Roman" w:cs="Times New Roman"/>
        </w:rPr>
      </w:pPr>
    </w:p>
    <w:p w:rsidR="002F0AC6" w:rsidRPr="009457CD" w:rsidRDefault="009457CD" w:rsidP="009457CD">
      <w:pPr>
        <w:tabs>
          <w:tab w:val="left" w:pos="1970"/>
        </w:tabs>
        <w:jc w:val="both"/>
        <w:rPr>
          <w:rFonts w:asciiTheme="majorBidi" w:hAnsiTheme="majorBidi" w:cstheme="majorBidi"/>
          <w:noProof/>
          <w:sz w:val="24"/>
          <w:szCs w:val="24"/>
          <w:u w:val="single"/>
        </w:rPr>
      </w:pPr>
      <w:r>
        <w:rPr>
          <w:rFonts w:ascii="Times New Roman" w:hAnsi="Times New Roman" w:cs="Times New Roman"/>
          <w:bCs/>
          <w:sz w:val="26"/>
          <w:szCs w:val="26"/>
        </w:rPr>
        <w:t xml:space="preserve">La vue à trois dimensions de la hauteur de la nappe et la iso-hauteurs dans le bloc parallélépipédique du sable, après 10 heures de simulation, sont représentées respectivement   </w:t>
      </w:r>
    </w:p>
    <w:p w:rsidR="002F0AC6" w:rsidRDefault="002F0AC6" w:rsidP="002F0AC6">
      <w:pPr>
        <w:tabs>
          <w:tab w:val="left" w:pos="1970"/>
        </w:tabs>
        <w:jc w:val="center"/>
      </w:pPr>
      <w:r>
        <w:rPr>
          <w:noProof/>
          <w:lang w:eastAsia="fr-FR"/>
        </w:rPr>
        <w:drawing>
          <wp:inline distT="0" distB="0" distL="0" distR="0">
            <wp:extent cx="6228000" cy="3861739"/>
            <wp:effectExtent l="0" t="0" r="0" b="0"/>
            <wp:docPr id="34"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srcRect/>
                    <a:stretch>
                      <a:fillRect/>
                    </a:stretch>
                  </pic:blipFill>
                  <pic:spPr bwMode="auto">
                    <a:xfrm>
                      <a:off x="0" y="0"/>
                      <a:ext cx="6228000" cy="3861739"/>
                    </a:xfrm>
                    <a:prstGeom prst="rect">
                      <a:avLst/>
                    </a:prstGeom>
                    <a:noFill/>
                    <a:ln w="9525">
                      <a:noFill/>
                      <a:miter lim="800000"/>
                      <a:headEnd/>
                      <a:tailEnd/>
                    </a:ln>
                  </pic:spPr>
                </pic:pic>
              </a:graphicData>
            </a:graphic>
          </wp:inline>
        </w:drawing>
      </w:r>
    </w:p>
    <w:p w:rsidR="002F0AC6" w:rsidRDefault="002F0AC6" w:rsidP="002F0AC6">
      <w:pPr>
        <w:jc w:val="center"/>
        <w:rPr>
          <w:rFonts w:asciiTheme="majorBidi" w:hAnsiTheme="majorBidi" w:cstheme="majorBidi"/>
          <w:noProof/>
          <w:lang w:eastAsia="fr-FR"/>
        </w:rPr>
      </w:pPr>
      <w:r w:rsidRPr="00C55D3E">
        <w:rPr>
          <w:rFonts w:asciiTheme="majorBidi" w:hAnsiTheme="majorBidi" w:cstheme="majorBidi"/>
          <w:b/>
          <w:bCs/>
        </w:rPr>
        <w:t>Figure</w:t>
      </w:r>
      <w:r w:rsidRPr="00C55D3E">
        <w:rPr>
          <w:rFonts w:ascii="Times New Roman" w:hAnsi="Times New Roman" w:cs="Times New Roman"/>
          <w:b/>
          <w:bCs/>
        </w:rPr>
        <w:t xml:space="preserve"> V</w:t>
      </w:r>
      <w:r w:rsidRPr="00C55D3E">
        <w:rPr>
          <w:rFonts w:asciiTheme="majorBidi" w:hAnsiTheme="majorBidi" w:cstheme="majorBidi"/>
          <w:b/>
          <w:bCs/>
        </w:rPr>
        <w:t xml:space="preserve"> </w:t>
      </w:r>
      <w:r w:rsidR="00B27DDF">
        <w:rPr>
          <w:rFonts w:asciiTheme="majorBidi" w:hAnsiTheme="majorBidi" w:cstheme="majorBidi"/>
          <w:b/>
          <w:bCs/>
        </w:rPr>
        <w:t>.11</w:t>
      </w:r>
      <w:r w:rsidRPr="00C55D3E">
        <w:rPr>
          <w:rFonts w:asciiTheme="majorBidi" w:hAnsiTheme="majorBidi" w:cstheme="majorBidi"/>
          <w:b/>
          <w:bCs/>
        </w:rPr>
        <w:t>:</w:t>
      </w:r>
      <w:r w:rsidRPr="000B7050">
        <w:rPr>
          <w:rFonts w:asciiTheme="majorBidi" w:hAnsiTheme="majorBidi" w:cstheme="majorBidi"/>
          <w:noProof/>
          <w:lang w:eastAsia="fr-FR"/>
        </w:rPr>
        <w:t>Vue à trois dimension de la hauteur  dans le bloc parallélépipédique</w:t>
      </w:r>
      <w:r>
        <w:rPr>
          <w:rFonts w:asciiTheme="majorBidi" w:hAnsiTheme="majorBidi" w:cstheme="majorBidi"/>
          <w:noProof/>
          <w:lang w:eastAsia="fr-FR"/>
        </w:rPr>
        <w:t xml:space="preserve">  </w:t>
      </w:r>
      <w:r w:rsidRPr="000B7050">
        <w:rPr>
          <w:rFonts w:asciiTheme="majorBidi" w:hAnsiTheme="majorBidi" w:cstheme="majorBidi"/>
          <w:noProof/>
          <w:lang w:eastAsia="fr-FR"/>
        </w:rPr>
        <w:t>de sable</w:t>
      </w:r>
      <w:r>
        <w:rPr>
          <w:rFonts w:asciiTheme="majorBidi" w:hAnsiTheme="majorBidi" w:cstheme="majorBidi"/>
          <w:noProof/>
          <w:lang w:eastAsia="fr-FR"/>
        </w:rPr>
        <w:t>(10 hereur)</w:t>
      </w:r>
    </w:p>
    <w:p w:rsidR="002F0AC6" w:rsidRDefault="002F0AC6" w:rsidP="002F0AC6">
      <w:pPr>
        <w:jc w:val="center"/>
        <w:rPr>
          <w:rFonts w:asciiTheme="majorBidi" w:hAnsiTheme="majorBidi" w:cstheme="majorBidi"/>
        </w:rPr>
      </w:pPr>
      <w:r w:rsidRPr="00EE26CB">
        <w:rPr>
          <w:rFonts w:asciiTheme="majorBidi" w:hAnsiTheme="majorBidi" w:cstheme="majorBidi" w:hint="cs"/>
          <w:noProof/>
          <w:lang w:eastAsia="fr-FR"/>
        </w:rPr>
        <w:lastRenderedPageBreak/>
        <w:drawing>
          <wp:inline distT="0" distB="0" distL="0" distR="0">
            <wp:extent cx="3240000" cy="3034047"/>
            <wp:effectExtent l="19050" t="0" r="0" b="0"/>
            <wp:docPr id="35"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stretch>
                      <a:fillRect/>
                    </a:stretch>
                  </pic:blipFill>
                  <pic:spPr bwMode="auto">
                    <a:xfrm>
                      <a:off x="0" y="0"/>
                      <a:ext cx="3240000" cy="3034047"/>
                    </a:xfrm>
                    <a:prstGeom prst="rect">
                      <a:avLst/>
                    </a:prstGeom>
                    <a:noFill/>
                    <a:ln w="9525">
                      <a:noFill/>
                      <a:miter lim="800000"/>
                      <a:headEnd/>
                      <a:tailEnd/>
                    </a:ln>
                  </pic:spPr>
                </pic:pic>
              </a:graphicData>
            </a:graphic>
          </wp:inline>
        </w:drawing>
      </w:r>
    </w:p>
    <w:p w:rsidR="002F0AC6" w:rsidRPr="007D4B69" w:rsidRDefault="002F0AC6" w:rsidP="002F0AC6">
      <w:pPr>
        <w:jc w:val="center"/>
        <w:rPr>
          <w:rFonts w:asciiTheme="majorBidi" w:hAnsiTheme="majorBidi" w:cstheme="majorBidi"/>
        </w:rPr>
      </w:pPr>
      <w:r w:rsidRPr="00C55D3E">
        <w:rPr>
          <w:rFonts w:asciiTheme="majorBidi" w:hAnsiTheme="majorBidi" w:cstheme="majorBidi"/>
          <w:b/>
          <w:bCs/>
        </w:rPr>
        <w:t>Figure</w:t>
      </w:r>
      <w:r w:rsidRPr="00C55D3E">
        <w:rPr>
          <w:rFonts w:ascii="Times New Roman" w:hAnsi="Times New Roman" w:cs="Times New Roman"/>
          <w:b/>
          <w:bCs/>
        </w:rPr>
        <w:t xml:space="preserve"> V</w:t>
      </w:r>
      <w:r w:rsidRPr="00C55D3E">
        <w:rPr>
          <w:rFonts w:asciiTheme="majorBidi" w:hAnsiTheme="majorBidi" w:cstheme="majorBidi"/>
          <w:b/>
          <w:bCs/>
        </w:rPr>
        <w:t xml:space="preserve"> </w:t>
      </w:r>
      <w:r w:rsidR="00B27DDF">
        <w:rPr>
          <w:rFonts w:asciiTheme="majorBidi" w:hAnsiTheme="majorBidi" w:cstheme="majorBidi"/>
          <w:b/>
          <w:bCs/>
        </w:rPr>
        <w:t>.12</w:t>
      </w:r>
      <w:r w:rsidRPr="00C55D3E">
        <w:rPr>
          <w:rFonts w:asciiTheme="majorBidi" w:hAnsiTheme="majorBidi" w:cstheme="majorBidi"/>
          <w:b/>
          <w:bCs/>
        </w:rPr>
        <w:t>:</w:t>
      </w:r>
      <w:r w:rsidR="008602AF">
        <w:rPr>
          <w:rFonts w:asciiTheme="majorBidi" w:hAnsiTheme="majorBidi" w:cstheme="majorBidi"/>
          <w:b/>
          <w:bCs/>
        </w:rPr>
        <w:t xml:space="preserve"> </w:t>
      </w:r>
      <w:r w:rsidRPr="000B7050">
        <w:rPr>
          <w:rFonts w:asciiTheme="majorBidi" w:hAnsiTheme="majorBidi" w:cstheme="majorBidi"/>
        </w:rPr>
        <w:t>Courbe iso hauteur dans le bloc parallélépipédique de sable</w:t>
      </w:r>
      <w:r w:rsidR="00B27DDF">
        <w:rPr>
          <w:rFonts w:asciiTheme="majorBidi" w:hAnsiTheme="majorBidi" w:cstheme="majorBidi"/>
        </w:rPr>
        <w:t>.</w:t>
      </w:r>
    </w:p>
    <w:p w:rsidR="002F0AC6" w:rsidRDefault="002F0AC6" w:rsidP="002F0AC6">
      <w:pPr>
        <w:spacing w:after="0" w:line="360" w:lineRule="auto"/>
        <w:jc w:val="center"/>
        <w:rPr>
          <w:rFonts w:asciiTheme="majorBidi" w:hAnsiTheme="majorBidi" w:cstheme="majorBidi"/>
          <w:b/>
          <w:bCs/>
        </w:rPr>
      </w:pPr>
      <w:r>
        <w:rPr>
          <w:rFonts w:asciiTheme="majorBidi" w:hAnsiTheme="majorBidi" w:cstheme="majorBidi"/>
          <w:b/>
          <w:bCs/>
          <w:noProof/>
          <w:lang w:eastAsia="fr-FR"/>
        </w:rPr>
        <w:drawing>
          <wp:inline distT="0" distB="0" distL="0" distR="0">
            <wp:extent cx="3240000" cy="3762869"/>
            <wp:effectExtent l="19050" t="0" r="0" b="0"/>
            <wp:docPr id="36" name="صورة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stretch>
                      <a:fillRect/>
                    </a:stretch>
                  </pic:blipFill>
                  <pic:spPr bwMode="auto">
                    <a:xfrm>
                      <a:off x="0" y="0"/>
                      <a:ext cx="3240000" cy="3762869"/>
                    </a:xfrm>
                    <a:prstGeom prst="rect">
                      <a:avLst/>
                    </a:prstGeom>
                    <a:noFill/>
                    <a:ln w="9525">
                      <a:noFill/>
                      <a:miter lim="800000"/>
                      <a:headEnd/>
                      <a:tailEnd/>
                    </a:ln>
                  </pic:spPr>
                </pic:pic>
              </a:graphicData>
            </a:graphic>
          </wp:inline>
        </w:drawing>
      </w:r>
    </w:p>
    <w:p w:rsidR="002F0AC6" w:rsidRDefault="002F0AC6" w:rsidP="002F0AC6">
      <w:pPr>
        <w:spacing w:line="360" w:lineRule="auto"/>
        <w:jc w:val="center"/>
        <w:rPr>
          <w:rFonts w:asciiTheme="majorBidi" w:hAnsiTheme="majorBidi" w:cstheme="majorBidi"/>
          <w:sz w:val="24"/>
          <w:szCs w:val="24"/>
        </w:rPr>
      </w:pPr>
      <w:r w:rsidRPr="00C55D3E">
        <w:rPr>
          <w:rFonts w:asciiTheme="majorBidi" w:hAnsiTheme="majorBidi" w:cstheme="majorBidi"/>
          <w:b/>
          <w:bCs/>
        </w:rPr>
        <w:t>Figure</w:t>
      </w:r>
      <w:r w:rsidRPr="00C55D3E">
        <w:rPr>
          <w:rFonts w:ascii="Times New Roman" w:hAnsi="Times New Roman" w:cs="Times New Roman"/>
          <w:b/>
          <w:bCs/>
        </w:rPr>
        <w:t xml:space="preserve"> V</w:t>
      </w:r>
      <w:r w:rsidRPr="00C55D3E">
        <w:rPr>
          <w:rFonts w:asciiTheme="majorBidi" w:hAnsiTheme="majorBidi" w:cstheme="majorBidi"/>
          <w:b/>
          <w:bCs/>
        </w:rPr>
        <w:t xml:space="preserve"> </w:t>
      </w:r>
      <w:r w:rsidR="00B27DDF">
        <w:rPr>
          <w:rFonts w:asciiTheme="majorBidi" w:hAnsiTheme="majorBidi" w:cstheme="majorBidi"/>
          <w:b/>
          <w:bCs/>
        </w:rPr>
        <w:t>.13</w:t>
      </w:r>
      <w:r w:rsidRPr="00C55D3E">
        <w:rPr>
          <w:rFonts w:asciiTheme="majorBidi" w:hAnsiTheme="majorBidi" w:cstheme="majorBidi"/>
          <w:b/>
          <w:bCs/>
        </w:rPr>
        <w:t>:</w:t>
      </w:r>
      <w:r w:rsidRPr="00A51484">
        <w:rPr>
          <w:rFonts w:asciiTheme="majorBidi" w:hAnsiTheme="majorBidi" w:cstheme="majorBidi"/>
          <w:b/>
          <w:bCs/>
          <w:sz w:val="24"/>
          <w:szCs w:val="24"/>
        </w:rPr>
        <w:t xml:space="preserve"> </w:t>
      </w:r>
      <w:r w:rsidRPr="00A51484">
        <w:rPr>
          <w:rFonts w:asciiTheme="majorBidi" w:hAnsiTheme="majorBidi" w:cstheme="majorBidi"/>
          <w:sz w:val="24"/>
          <w:szCs w:val="24"/>
        </w:rPr>
        <w:t>L’évolution de la hauteur d’eau dans la nappe en</w:t>
      </w:r>
      <w:r w:rsidR="008602AF">
        <w:rPr>
          <w:rFonts w:asciiTheme="majorBidi" w:hAnsiTheme="majorBidi" w:cstheme="majorBidi"/>
          <w:sz w:val="24"/>
          <w:szCs w:val="24"/>
        </w:rPr>
        <w:t xml:space="preserve"> fonction de temps </w:t>
      </w:r>
    </w:p>
    <w:p w:rsidR="002F0AC6" w:rsidRPr="00565660" w:rsidRDefault="008602AF" w:rsidP="002F0AC6">
      <w:pPr>
        <w:spacing w:line="360" w:lineRule="auto"/>
        <w:rPr>
          <w:rFonts w:asciiTheme="majorBidi" w:hAnsiTheme="majorBidi" w:cstheme="majorBidi"/>
          <w:sz w:val="24"/>
          <w:szCs w:val="24"/>
          <w:highlight w:val="yellow"/>
        </w:rPr>
      </w:pPr>
      <w:r w:rsidRPr="008602AF">
        <w:rPr>
          <w:rStyle w:val="hps"/>
          <w:rFonts w:asciiTheme="majorBidi" w:hAnsiTheme="majorBidi" w:cstheme="majorBidi"/>
          <w:sz w:val="24"/>
          <w:szCs w:val="24"/>
        </w:rPr>
        <w:t>A</w:t>
      </w:r>
      <w:r>
        <w:rPr>
          <w:rStyle w:val="hps"/>
          <w:rFonts w:asciiTheme="majorBidi" w:hAnsiTheme="majorBidi" w:cstheme="majorBidi"/>
          <w:sz w:val="24"/>
          <w:szCs w:val="24"/>
        </w:rPr>
        <w:t xml:space="preserve"> partir de la figure (V.13) de représentation de l’évolution de la hauteur d’eau dans la nappe en fonction de temps, </w:t>
      </w:r>
      <w:r w:rsidR="004A2A6D">
        <w:rPr>
          <w:rStyle w:val="hps"/>
          <w:rFonts w:asciiTheme="majorBidi" w:hAnsiTheme="majorBidi" w:cstheme="majorBidi"/>
          <w:sz w:val="24"/>
          <w:szCs w:val="24"/>
        </w:rPr>
        <w:t>on remarque que l’écoulement se fait suivant deux régimes : durant une période deux heurs le régime est transitoire et après cette période il devient permanant. Sur la figure (V.14), on voit clairement l’effet du pompage sur la diminution du niveau de la nappe</w:t>
      </w:r>
      <w:r w:rsidR="00565660">
        <w:rPr>
          <w:rStyle w:val="hps"/>
          <w:rFonts w:asciiTheme="majorBidi" w:hAnsiTheme="majorBidi" w:cstheme="majorBidi"/>
          <w:sz w:val="24"/>
          <w:szCs w:val="24"/>
        </w:rPr>
        <w:t>.</w:t>
      </w:r>
      <w:r w:rsidR="004A2A6D">
        <w:rPr>
          <w:rStyle w:val="hps"/>
          <w:rFonts w:asciiTheme="majorBidi" w:hAnsiTheme="majorBidi" w:cstheme="majorBidi"/>
          <w:sz w:val="24"/>
          <w:szCs w:val="24"/>
        </w:rPr>
        <w:t xml:space="preserve">   </w:t>
      </w:r>
      <w:r>
        <w:rPr>
          <w:rStyle w:val="hps"/>
          <w:rFonts w:asciiTheme="majorBidi" w:hAnsiTheme="majorBidi" w:cstheme="majorBidi"/>
          <w:sz w:val="24"/>
          <w:szCs w:val="24"/>
        </w:rPr>
        <w:t xml:space="preserve"> </w:t>
      </w:r>
    </w:p>
    <w:p w:rsidR="002F0AC6" w:rsidRDefault="002F0AC6" w:rsidP="002F0AC6">
      <w:pPr>
        <w:spacing w:after="0"/>
      </w:pPr>
      <w:r w:rsidRPr="008E3990">
        <w:rPr>
          <w:rFonts w:hint="cs"/>
          <w:noProof/>
          <w:lang w:eastAsia="fr-FR"/>
        </w:rPr>
        <w:lastRenderedPageBreak/>
        <w:drawing>
          <wp:inline distT="0" distB="0" distL="0" distR="0">
            <wp:extent cx="5760000" cy="3669754"/>
            <wp:effectExtent l="19050" t="0" r="0" b="0"/>
            <wp:docPr id="38"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srcRect/>
                    <a:stretch>
                      <a:fillRect/>
                    </a:stretch>
                  </pic:blipFill>
                  <pic:spPr bwMode="auto">
                    <a:xfrm>
                      <a:off x="0" y="0"/>
                      <a:ext cx="5760000" cy="3669754"/>
                    </a:xfrm>
                    <a:prstGeom prst="rect">
                      <a:avLst/>
                    </a:prstGeom>
                    <a:noFill/>
                    <a:ln w="9525">
                      <a:noFill/>
                      <a:miter lim="800000"/>
                      <a:headEnd/>
                      <a:tailEnd/>
                    </a:ln>
                  </pic:spPr>
                </pic:pic>
              </a:graphicData>
            </a:graphic>
          </wp:inline>
        </w:drawing>
      </w:r>
    </w:p>
    <w:p w:rsidR="002E368C" w:rsidRPr="00951226" w:rsidRDefault="002F0AC6" w:rsidP="00951226">
      <w:pPr>
        <w:tabs>
          <w:tab w:val="left" w:pos="1770"/>
        </w:tabs>
        <w:rPr>
          <w:rFonts w:asciiTheme="majorBidi" w:hAnsiTheme="majorBidi" w:cstheme="majorBidi"/>
        </w:rPr>
      </w:pPr>
      <w:r w:rsidRPr="00761E2A">
        <w:rPr>
          <w:rFonts w:asciiTheme="majorBidi" w:hAnsiTheme="majorBidi" w:cstheme="majorBidi"/>
        </w:rPr>
        <w:tab/>
      </w:r>
      <w:r w:rsidRPr="00C55D3E">
        <w:rPr>
          <w:rFonts w:asciiTheme="majorBidi" w:hAnsiTheme="majorBidi" w:cstheme="majorBidi"/>
          <w:b/>
          <w:bCs/>
        </w:rPr>
        <w:t>Figure</w:t>
      </w:r>
      <w:r w:rsidRPr="00C55D3E">
        <w:rPr>
          <w:rFonts w:ascii="Times New Roman" w:hAnsi="Times New Roman" w:cs="Times New Roman"/>
          <w:b/>
          <w:bCs/>
        </w:rPr>
        <w:t xml:space="preserve"> V</w:t>
      </w:r>
      <w:r w:rsidRPr="00C55D3E">
        <w:rPr>
          <w:rFonts w:asciiTheme="majorBidi" w:hAnsiTheme="majorBidi" w:cstheme="majorBidi"/>
          <w:b/>
          <w:bCs/>
        </w:rPr>
        <w:t xml:space="preserve"> </w:t>
      </w:r>
      <w:r>
        <w:rPr>
          <w:rFonts w:asciiTheme="majorBidi" w:hAnsiTheme="majorBidi" w:cstheme="majorBidi"/>
          <w:b/>
          <w:bCs/>
        </w:rPr>
        <w:t>.10.</w:t>
      </w:r>
      <w:r w:rsidRPr="00761E2A">
        <w:rPr>
          <w:rFonts w:asciiTheme="majorBidi" w:hAnsiTheme="majorBidi" w:cstheme="majorBidi"/>
        </w:rPr>
        <w:t>Hauteur d’eau au niveau du point de pompage</w:t>
      </w:r>
      <w:r w:rsidR="00CF793A">
        <w:rPr>
          <w:rFonts w:asciiTheme="majorBidi" w:hAnsiTheme="majorBidi" w:cstheme="majorBidi"/>
        </w:rPr>
        <w:t>.</w:t>
      </w:r>
    </w:p>
    <w:p w:rsidR="00341E6D" w:rsidRDefault="002E042E" w:rsidP="00341E6D">
      <w:pPr>
        <w:rPr>
          <w:rFonts w:ascii="Times New Roman" w:hAnsi="Times New Roman" w:cs="Times New Roman"/>
          <w:b/>
          <w:bCs/>
          <w:sz w:val="28"/>
          <w:szCs w:val="28"/>
        </w:rPr>
      </w:pPr>
      <w:r w:rsidRPr="00361368">
        <w:rPr>
          <w:rFonts w:ascii="Times New Roman" w:hAnsi="Times New Roman" w:cs="Times New Roman"/>
          <w:b/>
          <w:bCs/>
          <w:sz w:val="28"/>
          <w:szCs w:val="28"/>
        </w:rPr>
        <w:t>V</w:t>
      </w:r>
      <w:r w:rsidR="00CF793A">
        <w:rPr>
          <w:rFonts w:asciiTheme="majorBidi" w:hAnsiTheme="majorBidi" w:cstheme="majorBidi"/>
          <w:b/>
          <w:bCs/>
          <w:sz w:val="28"/>
          <w:szCs w:val="28"/>
        </w:rPr>
        <w:t xml:space="preserve"> .3</w:t>
      </w:r>
      <w:r w:rsidRPr="00361368">
        <w:rPr>
          <w:rFonts w:asciiTheme="majorBidi" w:hAnsiTheme="majorBidi" w:cstheme="majorBidi"/>
          <w:b/>
          <w:bCs/>
          <w:sz w:val="28"/>
          <w:szCs w:val="28"/>
        </w:rPr>
        <w:t>.</w:t>
      </w:r>
      <w:r w:rsidR="00CF793A">
        <w:rPr>
          <w:rFonts w:asciiTheme="majorBidi" w:hAnsiTheme="majorBidi" w:cstheme="majorBidi"/>
          <w:b/>
          <w:bCs/>
          <w:sz w:val="28"/>
          <w:szCs w:val="28"/>
        </w:rPr>
        <w:t>R</w:t>
      </w:r>
      <w:r w:rsidR="00BC66DB" w:rsidRPr="00361368">
        <w:rPr>
          <w:rFonts w:ascii="Times New Roman" w:hAnsi="Times New Roman" w:cs="Times New Roman"/>
          <w:b/>
          <w:bCs/>
          <w:sz w:val="28"/>
          <w:szCs w:val="28"/>
        </w:rPr>
        <w:t>echarge artificielle des nappes</w:t>
      </w:r>
      <w:r w:rsidR="006267E1" w:rsidRPr="00361368">
        <w:rPr>
          <w:rFonts w:ascii="Times New Roman" w:hAnsi="Times New Roman" w:cs="Times New Roman"/>
          <w:b/>
          <w:bCs/>
          <w:sz w:val="28"/>
          <w:szCs w:val="28"/>
        </w:rPr>
        <w:t>:</w:t>
      </w:r>
    </w:p>
    <w:p w:rsidR="009A113A" w:rsidRPr="009A113A" w:rsidRDefault="009A113A" w:rsidP="009A113A">
      <w:pPr>
        <w:autoSpaceDE w:val="0"/>
        <w:autoSpaceDN w:val="0"/>
        <w:adjustRightInd w:val="0"/>
        <w:spacing w:after="0" w:line="240" w:lineRule="auto"/>
        <w:rPr>
          <w:rFonts w:ascii="Times New Roman" w:hAnsi="Times New Roman" w:cs="Times New Roman"/>
          <w:sz w:val="26"/>
          <w:szCs w:val="26"/>
          <w:rtl/>
        </w:rPr>
      </w:pPr>
      <w:r w:rsidRPr="009A113A">
        <w:rPr>
          <w:rFonts w:ascii="Times New Roman" w:hAnsi="Times New Roman" w:cs="Times New Roman"/>
          <w:sz w:val="26"/>
          <w:szCs w:val="26"/>
        </w:rPr>
        <w:t>La recharge de cette nappe peut se faire</w:t>
      </w:r>
      <w:r>
        <w:rPr>
          <w:rFonts w:ascii="Times New Roman" w:hAnsi="Times New Roman" w:cs="Times New Roman"/>
          <w:sz w:val="26"/>
          <w:szCs w:val="26"/>
        </w:rPr>
        <w:t>:</w:t>
      </w:r>
    </w:p>
    <w:p w:rsidR="009A113A" w:rsidRPr="009A113A" w:rsidRDefault="009A113A" w:rsidP="009A113A">
      <w:pPr>
        <w:autoSpaceDE w:val="0"/>
        <w:autoSpaceDN w:val="0"/>
        <w:adjustRightInd w:val="0"/>
        <w:spacing w:after="0" w:line="240" w:lineRule="auto"/>
        <w:rPr>
          <w:rFonts w:ascii="Times New Roman" w:hAnsi="Times New Roman" w:cs="Times New Roman"/>
          <w:sz w:val="26"/>
          <w:szCs w:val="26"/>
          <w:rtl/>
        </w:rPr>
      </w:pPr>
      <w:r w:rsidRPr="009A113A">
        <w:rPr>
          <w:rFonts w:ascii="Times New Roman" w:hAnsi="Times New Roman" w:cs="Times New Roman"/>
          <w:sz w:val="26"/>
          <w:szCs w:val="26"/>
        </w:rPr>
        <w:t xml:space="preserve">   </w:t>
      </w:r>
    </w:p>
    <w:p w:rsidR="009A113A" w:rsidRPr="00C71DCD" w:rsidRDefault="009A113A" w:rsidP="00C71DCD">
      <w:pPr>
        <w:numPr>
          <w:ilvl w:val="0"/>
          <w:numId w:val="8"/>
        </w:numPr>
        <w:tabs>
          <w:tab w:val="right" w:pos="8789"/>
        </w:tabs>
        <w:autoSpaceDE w:val="0"/>
        <w:autoSpaceDN w:val="0"/>
        <w:adjustRightInd w:val="0"/>
        <w:spacing w:after="0" w:line="240" w:lineRule="auto"/>
        <w:rPr>
          <w:rFonts w:ascii="Times New Roman" w:hAnsi="Times New Roman" w:cs="Times New Roman"/>
          <w:sz w:val="24"/>
          <w:szCs w:val="24"/>
        </w:rPr>
      </w:pPr>
      <w:r w:rsidRPr="00C71DCD">
        <w:rPr>
          <w:rFonts w:ascii="Times New Roman" w:hAnsi="Times New Roman" w:cs="Times New Roman"/>
          <w:sz w:val="24"/>
          <w:szCs w:val="24"/>
        </w:rPr>
        <w:t>par forage d'injection</w:t>
      </w:r>
    </w:p>
    <w:p w:rsidR="00C71DCD" w:rsidRPr="00C71DCD" w:rsidRDefault="00C71DCD" w:rsidP="00C71DCD">
      <w:pPr>
        <w:numPr>
          <w:ilvl w:val="0"/>
          <w:numId w:val="8"/>
        </w:numPr>
        <w:tabs>
          <w:tab w:val="right" w:pos="8789"/>
        </w:tabs>
        <w:autoSpaceDE w:val="0"/>
        <w:autoSpaceDN w:val="0"/>
        <w:adjustRightInd w:val="0"/>
        <w:spacing w:after="0" w:line="240" w:lineRule="auto"/>
        <w:rPr>
          <w:rFonts w:ascii="Times New Roman" w:hAnsi="Times New Roman" w:cs="Times New Roman"/>
          <w:sz w:val="24"/>
          <w:szCs w:val="24"/>
        </w:rPr>
      </w:pPr>
      <w:r w:rsidRPr="00C71DCD">
        <w:rPr>
          <w:rFonts w:ascii="Times New Roman" w:hAnsi="Times New Roman" w:cs="Times New Roman"/>
          <w:sz w:val="24"/>
          <w:szCs w:val="24"/>
        </w:rPr>
        <w:t>par  bassin d'infiltration.</w:t>
      </w:r>
    </w:p>
    <w:p w:rsidR="009A113A" w:rsidRPr="00CF793A" w:rsidRDefault="00C71DCD" w:rsidP="009A113A">
      <w:pPr>
        <w:numPr>
          <w:ilvl w:val="0"/>
          <w:numId w:val="8"/>
        </w:numPr>
        <w:tabs>
          <w:tab w:val="right" w:pos="8789"/>
        </w:tabs>
        <w:autoSpaceDE w:val="0"/>
        <w:autoSpaceDN w:val="0"/>
        <w:adjustRightInd w:val="0"/>
        <w:spacing w:after="0" w:line="240" w:lineRule="auto"/>
        <w:rPr>
          <w:rFonts w:ascii="Times New Roman" w:hAnsi="Times New Roman" w:cs="Times New Roman"/>
          <w:sz w:val="24"/>
          <w:szCs w:val="24"/>
        </w:rPr>
      </w:pPr>
      <w:r w:rsidRPr="00C71DCD">
        <w:rPr>
          <w:rFonts w:ascii="Times New Roman" w:hAnsi="Times New Roman" w:cs="Times New Roman"/>
          <w:sz w:val="24"/>
          <w:szCs w:val="24"/>
        </w:rPr>
        <w:t>à partir d'un barrage</w:t>
      </w:r>
    </w:p>
    <w:p w:rsidR="00CF793A" w:rsidRPr="00B27DDF" w:rsidRDefault="00D566B5" w:rsidP="00CF793A">
      <w:pPr>
        <w:autoSpaceDE w:val="0"/>
        <w:autoSpaceDN w:val="0"/>
        <w:adjustRightInd w:val="0"/>
        <w:spacing w:after="0" w:line="360" w:lineRule="auto"/>
        <w:ind w:firstLine="709"/>
        <w:jc w:val="both"/>
        <w:rPr>
          <w:rFonts w:ascii="Times New Roman" w:hAnsi="Times New Roman" w:cs="Times New Roman"/>
          <w:sz w:val="24"/>
          <w:szCs w:val="24"/>
        </w:rPr>
      </w:pPr>
      <w:r w:rsidRPr="00E12279">
        <w:rPr>
          <w:rFonts w:ascii="Times New Roman" w:hAnsi="Times New Roman" w:cs="Times New Roman"/>
          <w:sz w:val="24"/>
          <w:szCs w:val="24"/>
        </w:rPr>
        <w:t xml:space="preserve">Les applications servent à étudier l’évolution dans l’espace et dans le temps </w:t>
      </w:r>
      <w:r w:rsidR="00CF793A" w:rsidRPr="00E12279">
        <w:rPr>
          <w:rFonts w:ascii="Times New Roman" w:hAnsi="Times New Roman" w:cs="Times New Roman"/>
          <w:sz w:val="24"/>
          <w:szCs w:val="24"/>
        </w:rPr>
        <w:t>du</w:t>
      </w:r>
      <w:r w:rsidR="00C71DCD" w:rsidRPr="00C71DCD">
        <w:rPr>
          <w:rFonts w:ascii="Times New Roman" w:hAnsi="Times New Roman" w:cs="Times New Roman"/>
          <w:sz w:val="24"/>
          <w:szCs w:val="24"/>
        </w:rPr>
        <w:t xml:space="preserve"> </w:t>
      </w:r>
      <w:r w:rsidR="00C71DCD" w:rsidRPr="00E12279">
        <w:rPr>
          <w:rFonts w:ascii="Times New Roman" w:hAnsi="Times New Roman" w:cs="Times New Roman"/>
          <w:sz w:val="24"/>
          <w:szCs w:val="24"/>
        </w:rPr>
        <w:t>niveau piézométrique</w:t>
      </w:r>
      <w:r w:rsidR="00C71DCD">
        <w:rPr>
          <w:rFonts w:ascii="Times New Roman" w:hAnsi="Times New Roman" w:cs="Times New Roman"/>
          <w:sz w:val="24"/>
          <w:szCs w:val="24"/>
        </w:rPr>
        <w:t xml:space="preserve"> d'un nappe</w:t>
      </w:r>
      <w:r w:rsidRPr="00E12279">
        <w:rPr>
          <w:rFonts w:ascii="Times New Roman" w:hAnsi="Times New Roman" w:cs="Times New Roman"/>
          <w:sz w:val="24"/>
          <w:szCs w:val="24"/>
        </w:rPr>
        <w:t xml:space="preserve"> suite à une recharge.</w:t>
      </w:r>
    </w:p>
    <w:p w:rsidR="006D30C3" w:rsidRPr="005E09F9" w:rsidRDefault="006D30C3" w:rsidP="006D30C3">
      <w:pPr>
        <w:autoSpaceDE w:val="0"/>
        <w:autoSpaceDN w:val="0"/>
        <w:adjustRightInd w:val="0"/>
        <w:spacing w:after="0" w:line="240" w:lineRule="auto"/>
        <w:rPr>
          <w:rFonts w:ascii="Times New Roman" w:hAnsi="Times New Roman" w:cs="Times New Roman"/>
        </w:rPr>
      </w:pPr>
      <w:r w:rsidRPr="005E09F9">
        <w:rPr>
          <w:rFonts w:ascii="Times New Roman" w:hAnsi="Times New Roman" w:cs="Times New Roman"/>
        </w:rPr>
        <w:t>Abaissement</w:t>
      </w:r>
    </w:p>
    <w:p w:rsidR="006D30C3" w:rsidRPr="005E09F9" w:rsidRDefault="006D30C3" w:rsidP="006D30C3">
      <w:pPr>
        <w:widowControl w:val="0"/>
        <w:tabs>
          <w:tab w:val="left" w:pos="1388"/>
        </w:tabs>
        <w:autoSpaceDE w:val="0"/>
        <w:autoSpaceDN w:val="0"/>
        <w:adjustRightInd w:val="0"/>
        <w:spacing w:before="6" w:after="0" w:line="241" w:lineRule="exact"/>
        <w:ind w:left="20"/>
        <w:rPr>
          <w:rFonts w:ascii="Times New Roman" w:hAnsi="Times New Roman" w:cs="Times New Roman"/>
          <w:color w:val="000000"/>
          <w:w w:val="110"/>
        </w:rPr>
      </w:pPr>
      <w:r w:rsidRPr="005E09F9">
        <w:rPr>
          <w:rFonts w:ascii="Times New Roman" w:hAnsi="Times New Roman" w:cs="Times New Roman"/>
        </w:rPr>
        <w:t>du niveau</w:t>
      </w:r>
      <w:r w:rsidRPr="005E09F9">
        <w:rPr>
          <w:rFonts w:ascii="Times New Roman" w:hAnsi="Times New Roman" w:cs="Times New Roman"/>
          <w:color w:val="000000"/>
          <w:w w:val="107"/>
        </w:rPr>
        <w:t xml:space="preserve">                                                                                                                    </w:t>
      </w:r>
    </w:p>
    <w:p w:rsidR="006D30C3" w:rsidRDefault="00CF793A" w:rsidP="006D30C3">
      <w:pPr>
        <w:widowControl w:val="0"/>
        <w:autoSpaceDE w:val="0"/>
        <w:autoSpaceDN w:val="0"/>
        <w:adjustRightInd w:val="0"/>
        <w:spacing w:after="0" w:line="218" w:lineRule="exact"/>
        <w:rPr>
          <w:rFonts w:ascii="Times New Roman" w:hAnsi="Times New Roman" w:cs="Times New Roman"/>
          <w:color w:val="000000"/>
          <w:w w:val="107"/>
          <w:sz w:val="21"/>
          <w:szCs w:val="21"/>
        </w:rPr>
      </w:pPr>
      <w:r>
        <w:rPr>
          <w:rFonts w:ascii="Times New Roman" w:hAnsi="Times New Roman" w:cs="Times New Roman"/>
          <w:noProof/>
          <w:lang w:eastAsia="fr-FR"/>
        </w:rPr>
        <w:drawing>
          <wp:anchor distT="0" distB="0" distL="114300" distR="114300" simplePos="0" relativeHeight="251661312" behindDoc="1" locked="0" layoutInCell="0" allowOverlap="1">
            <wp:simplePos x="0" y="0"/>
            <wp:positionH relativeFrom="page">
              <wp:posOffset>923925</wp:posOffset>
            </wp:positionH>
            <wp:positionV relativeFrom="page">
              <wp:posOffset>7038975</wp:posOffset>
            </wp:positionV>
            <wp:extent cx="5562600" cy="2638425"/>
            <wp:effectExtent l="19050" t="0" r="0" b="0"/>
            <wp:wrapNone/>
            <wp:docPr id="2"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3" cstate="print"/>
                    <a:srcRect/>
                    <a:stretch>
                      <a:fillRect/>
                    </a:stretch>
                  </pic:blipFill>
                  <pic:spPr bwMode="auto">
                    <a:xfrm>
                      <a:off x="0" y="0"/>
                      <a:ext cx="5562600" cy="2638425"/>
                    </a:xfrm>
                    <a:prstGeom prst="rect">
                      <a:avLst/>
                    </a:prstGeom>
                    <a:noFill/>
                  </pic:spPr>
                </pic:pic>
              </a:graphicData>
            </a:graphic>
          </wp:anchor>
        </w:drawing>
      </w:r>
      <w:r w:rsidR="006D30C3" w:rsidRPr="005E09F9">
        <w:rPr>
          <w:rFonts w:ascii="Times New Roman" w:hAnsi="Times New Roman" w:cs="Times New Roman"/>
        </w:rPr>
        <w:t>piézométrique</w:t>
      </w:r>
      <w:r w:rsidR="006D30C3">
        <w:rPr>
          <w:rFonts w:ascii="Times New Roman" w:hAnsi="Times New Roman" w:cs="Times New Roman"/>
          <w:noProof/>
          <w:color w:val="000000"/>
          <w:sz w:val="20"/>
          <w:szCs w:val="20"/>
          <w:lang w:eastAsia="fr-FR"/>
        </w:rPr>
        <w:t xml:space="preserve"> </w:t>
      </w:r>
      <w:r w:rsidR="006D30C3">
        <w:rPr>
          <w:rFonts w:ascii="Times New Roman" w:hAnsi="Times New Roman" w:cs="Times New Roman"/>
          <w:color w:val="000000"/>
          <w:w w:val="108"/>
          <w:sz w:val="20"/>
          <w:szCs w:val="20"/>
        </w:rPr>
        <w:t xml:space="preserve">            forage              forage           </w:t>
      </w:r>
      <w:r w:rsidR="006D30C3">
        <w:rPr>
          <w:rFonts w:ascii="Times New Roman" w:hAnsi="Times New Roman" w:cs="Times New Roman"/>
          <w:sz w:val="21"/>
          <w:szCs w:val="21"/>
        </w:rPr>
        <w:t>bassin</w:t>
      </w:r>
      <w:r w:rsidR="006D30C3">
        <w:rPr>
          <w:rFonts w:ascii="Times New Roman" w:hAnsi="Times New Roman" w:cs="Times New Roman"/>
          <w:color w:val="000000"/>
          <w:w w:val="108"/>
          <w:sz w:val="20"/>
          <w:szCs w:val="20"/>
        </w:rPr>
        <w:t xml:space="preserve">             </w:t>
      </w:r>
      <w:r w:rsidR="006D30C3" w:rsidRPr="00D018D0">
        <w:rPr>
          <w:rFonts w:ascii="Times New Roman" w:hAnsi="Times New Roman" w:cs="Times New Roman"/>
          <w:color w:val="000000"/>
          <w:w w:val="107"/>
          <w:sz w:val="20"/>
          <w:szCs w:val="20"/>
        </w:rPr>
        <w:t xml:space="preserve"> </w:t>
      </w:r>
      <w:r w:rsidR="006D30C3">
        <w:rPr>
          <w:rFonts w:ascii="Times New Roman" w:hAnsi="Times New Roman" w:cs="Times New Roman"/>
          <w:color w:val="000000"/>
          <w:w w:val="107"/>
          <w:sz w:val="20"/>
          <w:szCs w:val="20"/>
        </w:rPr>
        <w:t xml:space="preserve">fossé      </w:t>
      </w:r>
      <w:r w:rsidR="006D30C3">
        <w:rPr>
          <w:rFonts w:ascii="Times New Roman" w:hAnsi="Times New Roman" w:cs="Times New Roman"/>
          <w:color w:val="000000"/>
          <w:w w:val="107"/>
          <w:sz w:val="20"/>
          <w:szCs w:val="20"/>
        </w:rPr>
        <w:tab/>
      </w:r>
      <w:r w:rsidR="006D30C3">
        <w:rPr>
          <w:rFonts w:ascii="Times New Roman" w:hAnsi="Times New Roman" w:cs="Times New Roman"/>
          <w:color w:val="000000"/>
          <w:w w:val="110"/>
          <w:sz w:val="20"/>
          <w:szCs w:val="20"/>
        </w:rPr>
        <w:t>aménagement</w:t>
      </w:r>
    </w:p>
    <w:p w:rsidR="006D30C3" w:rsidRDefault="006D30C3" w:rsidP="006D30C3">
      <w:pPr>
        <w:autoSpaceDE w:val="0"/>
        <w:autoSpaceDN w:val="0"/>
        <w:adjustRightInd w:val="0"/>
        <w:spacing w:after="0" w:line="240" w:lineRule="auto"/>
        <w:rPr>
          <w:rFonts w:ascii="Times New Roman" w:hAnsi="Times New Roman" w:cs="Times New Roman"/>
          <w:color w:val="000000"/>
          <w:w w:val="109"/>
          <w:position w:val="5"/>
          <w:sz w:val="20"/>
          <w:szCs w:val="20"/>
        </w:rPr>
      </w:pPr>
      <w:r>
        <w:rPr>
          <w:rFonts w:ascii="Times New Roman" w:hAnsi="Times New Roman" w:cs="Times New Roman"/>
          <w:color w:val="000000"/>
          <w:w w:val="109"/>
          <w:position w:val="5"/>
          <w:sz w:val="20"/>
          <w:szCs w:val="20"/>
        </w:rPr>
        <w:t xml:space="preserve">                                    d'exploitation  </w:t>
      </w:r>
      <w:r>
        <w:rPr>
          <w:rFonts w:ascii="Times New Roman" w:hAnsi="Times New Roman" w:cs="Times New Roman"/>
          <w:color w:val="000000"/>
          <w:w w:val="109"/>
          <w:position w:val="-4"/>
          <w:sz w:val="20"/>
          <w:szCs w:val="20"/>
        </w:rPr>
        <w:t>d'injection</w:t>
      </w:r>
      <w:r>
        <w:rPr>
          <w:rFonts w:ascii="Times New Roman" w:hAnsi="Times New Roman" w:cs="Times New Roman"/>
          <w:color w:val="000000"/>
          <w:w w:val="109"/>
          <w:position w:val="-4"/>
          <w:sz w:val="20"/>
          <w:szCs w:val="20"/>
        </w:rPr>
        <w:tab/>
        <w:t>d'infiltration</w:t>
      </w:r>
      <w:r>
        <w:rPr>
          <w:rFonts w:ascii="Times New Roman" w:hAnsi="Times New Roman" w:cs="Times New Roman"/>
          <w:color w:val="000000"/>
          <w:w w:val="109"/>
          <w:position w:val="-4"/>
          <w:sz w:val="20"/>
          <w:szCs w:val="20"/>
        </w:rPr>
        <w:tab/>
        <w:t>d'infiltration</w:t>
      </w:r>
      <w:r>
        <w:rPr>
          <w:rFonts w:ascii="Times New Roman" w:hAnsi="Times New Roman" w:cs="Times New Roman"/>
          <w:color w:val="000000"/>
          <w:w w:val="109"/>
          <w:position w:val="-4"/>
          <w:sz w:val="20"/>
          <w:szCs w:val="20"/>
        </w:rPr>
        <w:tab/>
        <w:t xml:space="preserve"> </w:t>
      </w:r>
      <w:r>
        <w:rPr>
          <w:rFonts w:ascii="Times New Roman" w:hAnsi="Times New Roman" w:cs="Times New Roman"/>
          <w:color w:val="000000"/>
          <w:w w:val="109"/>
          <w:sz w:val="20"/>
          <w:szCs w:val="20"/>
        </w:rPr>
        <w:t>des berges</w:t>
      </w:r>
      <w:r>
        <w:rPr>
          <w:rFonts w:ascii="Times New Roman" w:hAnsi="Times New Roman" w:cs="Times New Roman"/>
          <w:color w:val="000000"/>
          <w:w w:val="109"/>
          <w:position w:val="5"/>
          <w:sz w:val="20"/>
          <w:szCs w:val="20"/>
        </w:rPr>
        <w:t xml:space="preserve">  </w:t>
      </w:r>
    </w:p>
    <w:p w:rsidR="006D30C3" w:rsidRDefault="006D30C3" w:rsidP="006D30C3">
      <w:pPr>
        <w:autoSpaceDE w:val="0"/>
        <w:autoSpaceDN w:val="0"/>
        <w:adjustRightInd w:val="0"/>
        <w:spacing w:after="0" w:line="240" w:lineRule="auto"/>
        <w:rPr>
          <w:rFonts w:ascii="Times New Roman" w:hAnsi="Times New Roman" w:cs="Times New Roman"/>
          <w:color w:val="000000"/>
          <w:w w:val="109"/>
          <w:position w:val="5"/>
          <w:sz w:val="20"/>
          <w:szCs w:val="20"/>
        </w:rPr>
      </w:pPr>
      <w:r>
        <w:rPr>
          <w:rFonts w:ascii="Times New Roman" w:hAnsi="Times New Roman" w:cs="Times New Roman"/>
          <w:color w:val="000000"/>
          <w:w w:val="109"/>
          <w:position w:val="5"/>
          <w:sz w:val="20"/>
          <w:szCs w:val="20"/>
        </w:rPr>
        <w:t xml:space="preserve">                                                         </w:t>
      </w:r>
    </w:p>
    <w:p w:rsidR="006D30C3" w:rsidRDefault="006D30C3" w:rsidP="00CF793A">
      <w:pPr>
        <w:autoSpaceDE w:val="0"/>
        <w:autoSpaceDN w:val="0"/>
        <w:adjustRightInd w:val="0"/>
        <w:spacing w:before="240" w:after="0" w:line="240" w:lineRule="auto"/>
        <w:rPr>
          <w:rFonts w:ascii="Times New Roman" w:hAnsi="Times New Roman" w:cs="Times New Roman"/>
          <w:color w:val="000000"/>
          <w:w w:val="109"/>
          <w:position w:val="5"/>
          <w:sz w:val="20"/>
          <w:szCs w:val="20"/>
        </w:rPr>
      </w:pPr>
      <w:r>
        <w:rPr>
          <w:rFonts w:ascii="Times New Roman" w:hAnsi="Times New Roman" w:cs="Times New Roman"/>
          <w:color w:val="000000"/>
          <w:w w:val="109"/>
          <w:position w:val="5"/>
          <w:sz w:val="20"/>
          <w:szCs w:val="20"/>
        </w:rPr>
        <w:t xml:space="preserve">                                                                                                                                       </w:t>
      </w:r>
      <w:r>
        <w:rPr>
          <w:rFonts w:ascii="Times New Roman" w:hAnsi="Times New Roman" w:cs="Times New Roman"/>
          <w:sz w:val="21"/>
          <w:szCs w:val="21"/>
        </w:rPr>
        <w:t>Cours d'eau</w:t>
      </w:r>
      <w:r>
        <w:rPr>
          <w:rFonts w:ascii="Times New Roman" w:hAnsi="Times New Roman" w:cs="Times New Roman"/>
          <w:color w:val="000000"/>
          <w:w w:val="109"/>
          <w:position w:val="5"/>
          <w:sz w:val="20"/>
          <w:szCs w:val="20"/>
        </w:rPr>
        <w:t xml:space="preserve">                       </w:t>
      </w:r>
    </w:p>
    <w:p w:rsidR="006D30C3" w:rsidRDefault="006D30C3" w:rsidP="006D30C3">
      <w:pPr>
        <w:widowControl w:val="0"/>
        <w:autoSpaceDE w:val="0"/>
        <w:autoSpaceDN w:val="0"/>
        <w:adjustRightInd w:val="0"/>
        <w:spacing w:after="0" w:line="218" w:lineRule="exact"/>
        <w:rPr>
          <w:rFonts w:ascii="Times New Roman" w:hAnsi="Times New Roman" w:cs="Times New Roman"/>
          <w:color w:val="000000"/>
          <w:w w:val="107"/>
          <w:sz w:val="21"/>
          <w:szCs w:val="21"/>
        </w:rPr>
      </w:pPr>
      <w:r>
        <w:rPr>
          <w:rFonts w:ascii="Times New Roman" w:hAnsi="Times New Roman" w:cs="Times New Roman"/>
          <w:color w:val="000000"/>
          <w:w w:val="109"/>
          <w:position w:val="5"/>
          <w:sz w:val="20"/>
          <w:szCs w:val="20"/>
        </w:rPr>
        <w:t xml:space="preserve">      </w:t>
      </w:r>
      <w:r w:rsidRPr="005E09F9">
        <w:rPr>
          <w:rFonts w:ascii="Times New Roman" w:hAnsi="Times New Roman" w:cs="Times New Roman"/>
          <w:color w:val="000000"/>
          <w:w w:val="107"/>
          <w:sz w:val="21"/>
          <w:szCs w:val="21"/>
        </w:rPr>
        <w:t>Relèvement du</w:t>
      </w:r>
      <w:r>
        <w:rPr>
          <w:rFonts w:ascii="Times New Roman" w:hAnsi="Times New Roman" w:cs="Times New Roman"/>
          <w:color w:val="000000"/>
          <w:w w:val="107"/>
          <w:sz w:val="21"/>
          <w:szCs w:val="21"/>
        </w:rPr>
        <w:t xml:space="preserve"> niveau         </w:t>
      </w:r>
    </w:p>
    <w:p w:rsidR="006D30C3" w:rsidRDefault="006D30C3" w:rsidP="006D30C3">
      <w:pPr>
        <w:widowControl w:val="0"/>
        <w:autoSpaceDE w:val="0"/>
        <w:autoSpaceDN w:val="0"/>
        <w:adjustRightInd w:val="0"/>
        <w:spacing w:before="47" w:after="0" w:line="276" w:lineRule="exact"/>
        <w:ind w:left="5702"/>
        <w:rPr>
          <w:rFonts w:ascii="Times New Roman" w:hAnsi="Times New Roman" w:cs="Times New Roman"/>
          <w:color w:val="000000"/>
          <w:spacing w:val="-3"/>
          <w:sz w:val="24"/>
          <w:szCs w:val="24"/>
        </w:rPr>
      </w:pPr>
    </w:p>
    <w:p w:rsidR="00B27DDF" w:rsidRDefault="00B27DDF" w:rsidP="00B27DDF">
      <w:pPr>
        <w:widowControl w:val="0"/>
        <w:autoSpaceDE w:val="0"/>
        <w:autoSpaceDN w:val="0"/>
        <w:adjustRightInd w:val="0"/>
        <w:spacing w:after="0" w:line="276" w:lineRule="exact"/>
        <w:rPr>
          <w:rFonts w:ascii="Times New Roman" w:hAnsi="Times New Roman" w:cs="Times New Roman"/>
          <w:color w:val="000000"/>
          <w:spacing w:val="-3"/>
          <w:sz w:val="24"/>
          <w:szCs w:val="24"/>
        </w:rPr>
      </w:pPr>
    </w:p>
    <w:p w:rsidR="006D30C3" w:rsidRDefault="006D30C3" w:rsidP="00B27DDF">
      <w:pPr>
        <w:widowControl w:val="0"/>
        <w:autoSpaceDE w:val="0"/>
        <w:autoSpaceDN w:val="0"/>
        <w:adjustRightInd w:val="0"/>
        <w:spacing w:after="0" w:line="276" w:lineRule="exact"/>
        <w:rPr>
          <w:rFonts w:ascii="Times New Roman" w:hAnsi="Times New Roman" w:cs="Times New Roman"/>
          <w:color w:val="000000"/>
          <w:spacing w:val="-3"/>
          <w:sz w:val="24"/>
          <w:szCs w:val="24"/>
        </w:rPr>
      </w:pPr>
      <w:r>
        <w:rPr>
          <w:rFonts w:ascii="Times New Roman" w:hAnsi="Times New Roman" w:cs="Times New Roman"/>
          <w:color w:val="000000"/>
          <w:w w:val="107"/>
          <w:sz w:val="21"/>
          <w:szCs w:val="21"/>
        </w:rPr>
        <w:t xml:space="preserve"> </w:t>
      </w:r>
    </w:p>
    <w:p w:rsidR="00CF793A" w:rsidRDefault="006D30C3" w:rsidP="00B27DDF">
      <w:pPr>
        <w:widowControl w:val="0"/>
        <w:autoSpaceDE w:val="0"/>
        <w:autoSpaceDN w:val="0"/>
        <w:adjustRightInd w:val="0"/>
        <w:spacing w:after="0" w:line="276" w:lineRule="exact"/>
        <w:ind w:left="4248"/>
        <w:rPr>
          <w:rFonts w:ascii="Times New Roman" w:hAnsi="Times New Roman" w:cs="Times New Roman"/>
          <w:color w:val="000000"/>
          <w:spacing w:val="-3"/>
          <w:sz w:val="24"/>
          <w:szCs w:val="24"/>
        </w:rPr>
      </w:pPr>
      <w:r>
        <w:rPr>
          <w:rFonts w:ascii="Times New Roman" w:hAnsi="Times New Roman" w:cs="Times New Roman"/>
          <w:color w:val="000000"/>
          <w:spacing w:val="-3"/>
          <w:sz w:val="24"/>
          <w:szCs w:val="24"/>
        </w:rPr>
        <w:t xml:space="preserve">Aquifère                           </w:t>
      </w:r>
    </w:p>
    <w:p w:rsidR="006D30C3" w:rsidRDefault="00CF793A" w:rsidP="00B27DDF">
      <w:pPr>
        <w:widowControl w:val="0"/>
        <w:autoSpaceDE w:val="0"/>
        <w:autoSpaceDN w:val="0"/>
        <w:adjustRightInd w:val="0"/>
        <w:spacing w:after="0" w:line="276" w:lineRule="exact"/>
        <w:ind w:left="4248"/>
        <w:rPr>
          <w:rFonts w:ascii="Times New Roman" w:hAnsi="Times New Roman" w:cs="Times New Roman"/>
          <w:color w:val="000000"/>
          <w:spacing w:val="-3"/>
          <w:sz w:val="24"/>
          <w:szCs w:val="24"/>
        </w:rPr>
      </w:pPr>
      <w:r>
        <w:rPr>
          <w:rFonts w:ascii="Times New Roman" w:hAnsi="Times New Roman" w:cs="Times New Roman"/>
          <w:color w:val="000000"/>
          <w:spacing w:val="-3"/>
          <w:sz w:val="24"/>
          <w:szCs w:val="24"/>
        </w:rPr>
        <w:t xml:space="preserve">                                         </w:t>
      </w:r>
      <w:r w:rsidR="006D30C3">
        <w:rPr>
          <w:rFonts w:ascii="Times New Roman" w:hAnsi="Times New Roman" w:cs="Times New Roman"/>
          <w:color w:val="000000"/>
          <w:spacing w:val="-3"/>
          <w:sz w:val="24"/>
          <w:szCs w:val="24"/>
        </w:rPr>
        <w:t xml:space="preserve">Alimentation                                   </w:t>
      </w:r>
    </w:p>
    <w:p w:rsidR="006D30C3" w:rsidRDefault="006D30C3" w:rsidP="00B27DDF">
      <w:pPr>
        <w:widowControl w:val="0"/>
        <w:autoSpaceDE w:val="0"/>
        <w:autoSpaceDN w:val="0"/>
        <w:adjustRightInd w:val="0"/>
        <w:spacing w:after="0" w:line="276" w:lineRule="exact"/>
        <w:ind w:left="4248"/>
        <w:rPr>
          <w:rFonts w:ascii="Times New Roman" w:hAnsi="Times New Roman" w:cs="Times New Roman"/>
          <w:color w:val="000000"/>
          <w:spacing w:val="-3"/>
          <w:sz w:val="24"/>
          <w:szCs w:val="24"/>
        </w:rPr>
      </w:pPr>
      <w:r>
        <w:rPr>
          <w:rFonts w:ascii="Times New Roman" w:hAnsi="Times New Roman" w:cs="Times New Roman"/>
          <w:color w:val="000000"/>
          <w:spacing w:val="-3"/>
          <w:sz w:val="24"/>
          <w:szCs w:val="24"/>
        </w:rPr>
        <w:t xml:space="preserve">                                         Naturelle</w:t>
      </w:r>
    </w:p>
    <w:p w:rsidR="006D30C3" w:rsidRDefault="00B27DDF" w:rsidP="00B27DDF">
      <w:pPr>
        <w:widowControl w:val="0"/>
        <w:autoSpaceDE w:val="0"/>
        <w:autoSpaceDN w:val="0"/>
        <w:adjustRightInd w:val="0"/>
        <w:spacing w:after="0" w:line="276" w:lineRule="exact"/>
        <w:ind w:left="2988"/>
        <w:rPr>
          <w:rFonts w:ascii="Times New Roman" w:hAnsi="Times New Roman" w:cs="Times New Roman"/>
          <w:color w:val="000000"/>
          <w:spacing w:val="-3"/>
          <w:sz w:val="24"/>
          <w:szCs w:val="24"/>
        </w:rPr>
      </w:pPr>
      <w:r>
        <w:rPr>
          <w:rFonts w:ascii="Times New Roman" w:hAnsi="Times New Roman" w:cs="Times New Roman"/>
          <w:color w:val="000000"/>
          <w:spacing w:val="-3"/>
          <w:sz w:val="24"/>
          <w:szCs w:val="24"/>
        </w:rPr>
        <w:t xml:space="preserve">                                                                                                 </w:t>
      </w:r>
      <w:r w:rsidR="006D30C3">
        <w:rPr>
          <w:rFonts w:ascii="Times New Roman" w:hAnsi="Times New Roman" w:cs="Times New Roman"/>
          <w:color w:val="000000"/>
          <w:spacing w:val="-3"/>
          <w:sz w:val="24"/>
          <w:szCs w:val="24"/>
        </w:rPr>
        <w:t>Substratum</w:t>
      </w:r>
    </w:p>
    <w:p w:rsidR="006D30C3" w:rsidRDefault="006D30C3" w:rsidP="00B27DDF">
      <w:pPr>
        <w:widowControl w:val="0"/>
        <w:autoSpaceDE w:val="0"/>
        <w:autoSpaceDN w:val="0"/>
        <w:adjustRightInd w:val="0"/>
        <w:spacing w:after="0" w:line="283" w:lineRule="exact"/>
        <w:jc w:val="both"/>
        <w:rPr>
          <w:rFonts w:ascii="Times New Roman" w:hAnsi="Times New Roman" w:cs="Times New Roman"/>
          <w:color w:val="000000"/>
          <w:spacing w:val="-3"/>
          <w:sz w:val="24"/>
          <w:szCs w:val="24"/>
        </w:rPr>
      </w:pPr>
    </w:p>
    <w:p w:rsidR="007D4B69" w:rsidRPr="00CF793A" w:rsidRDefault="00C55D3E" w:rsidP="00CF793A">
      <w:pPr>
        <w:autoSpaceDE w:val="0"/>
        <w:autoSpaceDN w:val="0"/>
        <w:adjustRightInd w:val="0"/>
        <w:spacing w:before="240" w:after="0" w:line="240" w:lineRule="auto"/>
        <w:ind w:left="708"/>
        <w:jc w:val="center"/>
        <w:rPr>
          <w:rFonts w:ascii="Times New Roman" w:hAnsi="Times New Roman" w:cs="Times New Roman"/>
          <w:b/>
          <w:bCs/>
          <w:sz w:val="26"/>
          <w:szCs w:val="26"/>
        </w:rPr>
      </w:pPr>
      <w:r w:rsidRPr="00C55D3E">
        <w:rPr>
          <w:rFonts w:asciiTheme="majorBidi" w:hAnsiTheme="majorBidi" w:cstheme="majorBidi"/>
          <w:b/>
          <w:bCs/>
        </w:rPr>
        <w:t>Figure</w:t>
      </w:r>
      <w:r w:rsidRPr="00C55D3E">
        <w:rPr>
          <w:rFonts w:ascii="Times New Roman" w:hAnsi="Times New Roman" w:cs="Times New Roman"/>
          <w:b/>
          <w:bCs/>
        </w:rPr>
        <w:t xml:space="preserve"> V</w:t>
      </w:r>
      <w:r w:rsidRPr="00C55D3E">
        <w:rPr>
          <w:rFonts w:asciiTheme="majorBidi" w:hAnsiTheme="majorBidi" w:cstheme="majorBidi"/>
          <w:b/>
          <w:bCs/>
        </w:rPr>
        <w:t xml:space="preserve"> </w:t>
      </w:r>
      <w:r w:rsidR="00CF793A">
        <w:rPr>
          <w:rFonts w:asciiTheme="majorBidi" w:hAnsiTheme="majorBidi" w:cstheme="majorBidi"/>
          <w:b/>
          <w:bCs/>
        </w:rPr>
        <w:t>.15</w:t>
      </w:r>
      <w:r w:rsidRPr="00C55D3E">
        <w:rPr>
          <w:rFonts w:asciiTheme="majorBidi" w:hAnsiTheme="majorBidi" w:cstheme="majorBidi"/>
          <w:b/>
          <w:bCs/>
        </w:rPr>
        <w:t>:</w:t>
      </w:r>
      <w:r w:rsidRPr="00C55D3E">
        <w:rPr>
          <w:rFonts w:asciiTheme="majorBidi" w:hAnsiTheme="majorBidi" w:cstheme="majorBidi"/>
        </w:rPr>
        <w:t xml:space="preserve"> </w:t>
      </w:r>
      <w:r w:rsidR="006D30C3" w:rsidRPr="00C55D3E">
        <w:rPr>
          <w:rFonts w:ascii="Times New Roman" w:hAnsi="Times New Roman" w:cs="Times New Roman"/>
        </w:rPr>
        <w:t>différents méthodes de recharge artificielle des nappes.</w:t>
      </w:r>
    </w:p>
    <w:p w:rsidR="00696990" w:rsidRDefault="00BC7A34" w:rsidP="00CE3ED0">
      <w:pPr>
        <w:spacing w:after="0" w:line="360" w:lineRule="auto"/>
        <w:rPr>
          <w:rFonts w:asciiTheme="majorBidi" w:hAnsiTheme="majorBidi" w:cstheme="majorBidi"/>
          <w:b/>
          <w:bCs/>
        </w:rPr>
      </w:pPr>
      <w:r w:rsidRPr="00361368">
        <w:rPr>
          <w:rFonts w:ascii="Times New Roman" w:hAnsi="Times New Roman" w:cs="Times New Roman"/>
          <w:b/>
          <w:bCs/>
          <w:sz w:val="24"/>
          <w:szCs w:val="24"/>
        </w:rPr>
        <w:lastRenderedPageBreak/>
        <w:t>V</w:t>
      </w:r>
      <w:r w:rsidR="00CF793A">
        <w:rPr>
          <w:rFonts w:asciiTheme="majorBidi" w:hAnsiTheme="majorBidi" w:cstheme="majorBidi"/>
          <w:b/>
          <w:bCs/>
          <w:sz w:val="24"/>
          <w:szCs w:val="24"/>
        </w:rPr>
        <w:t xml:space="preserve"> .3</w:t>
      </w:r>
      <w:r w:rsidRPr="00361368">
        <w:rPr>
          <w:rFonts w:asciiTheme="majorBidi" w:hAnsiTheme="majorBidi" w:cstheme="majorBidi"/>
          <w:b/>
          <w:bCs/>
          <w:sz w:val="24"/>
          <w:szCs w:val="24"/>
        </w:rPr>
        <w:t>.</w:t>
      </w:r>
      <w:r>
        <w:rPr>
          <w:rFonts w:asciiTheme="majorBidi" w:hAnsiTheme="majorBidi" w:cstheme="majorBidi"/>
          <w:b/>
          <w:bCs/>
          <w:sz w:val="24"/>
          <w:szCs w:val="24"/>
        </w:rPr>
        <w:t>1</w:t>
      </w:r>
      <w:r>
        <w:rPr>
          <w:rFonts w:asciiTheme="majorBidi" w:hAnsiTheme="majorBidi" w:cstheme="majorBidi"/>
          <w:b/>
          <w:bCs/>
          <w:sz w:val="28"/>
          <w:szCs w:val="28"/>
        </w:rPr>
        <w:t>.</w:t>
      </w:r>
      <w:r w:rsidR="00CF793A">
        <w:rPr>
          <w:rFonts w:asciiTheme="majorBidi" w:hAnsiTheme="majorBidi" w:cstheme="majorBidi"/>
          <w:b/>
          <w:bCs/>
        </w:rPr>
        <w:t xml:space="preserve">Recharge par puits </w:t>
      </w:r>
      <w:r w:rsidR="000A27C7">
        <w:rPr>
          <w:rFonts w:asciiTheme="majorBidi" w:hAnsiTheme="majorBidi" w:cstheme="majorBidi"/>
          <w:b/>
          <w:bCs/>
        </w:rPr>
        <w:t xml:space="preserve"> d’injection :</w:t>
      </w:r>
    </w:p>
    <w:p w:rsidR="00824F6F" w:rsidRDefault="00824F6F" w:rsidP="00565660">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565660" w:rsidRPr="00565660">
        <w:rPr>
          <w:rFonts w:ascii="Times New Roman" w:hAnsi="Times New Roman" w:cs="Times New Roman"/>
          <w:sz w:val="24"/>
          <w:szCs w:val="24"/>
        </w:rPr>
        <w:t>O</w:t>
      </w:r>
      <w:r w:rsidR="00565660">
        <w:rPr>
          <w:rFonts w:ascii="Times New Roman" w:hAnsi="Times New Roman" w:cs="Times New Roman"/>
          <w:sz w:val="24"/>
          <w:szCs w:val="24"/>
        </w:rPr>
        <w:t>n s’intéresse maintenant à la recharge d’un nappe par puits d’injection. La nappe simulée est constituée d’un domaine parallélépipédique de sable dont</w:t>
      </w:r>
      <w:r>
        <w:rPr>
          <w:rFonts w:ascii="Times New Roman" w:hAnsi="Times New Roman" w:cs="Times New Roman"/>
          <w:sz w:val="24"/>
          <w:szCs w:val="24"/>
        </w:rPr>
        <w:t xml:space="preserve"> quatre faces latérales et la faces  de fond sont imperméables. La nappe à pour dimension : </w:t>
      </w:r>
      <w:r w:rsidRPr="00824F6F">
        <w:rPr>
          <w:rFonts w:ascii="Times New Roman" w:hAnsi="Times New Roman" w:cs="Times New Roman"/>
          <w:sz w:val="24"/>
          <w:szCs w:val="24"/>
        </w:rPr>
        <w:t>10m en hauteur, 200 m en largeur et 200 m en longueur. La positionné de puits est  x = 100m et y = 100,</w:t>
      </w:r>
      <w:r>
        <w:rPr>
          <w:rFonts w:ascii="Times New Roman" w:hAnsi="Times New Roman" w:cs="Times New Roman"/>
          <w:sz w:val="24"/>
          <w:szCs w:val="24"/>
        </w:rPr>
        <w:t xml:space="preserve"> ou on injecte un débit concentré constante</w:t>
      </w:r>
      <w:r w:rsidRPr="00824F6F">
        <w:rPr>
          <w:rFonts w:ascii="Times New Roman" w:hAnsi="Times New Roman" w:cs="Times New Roman"/>
          <w:sz w:val="24"/>
          <w:szCs w:val="24"/>
        </w:rPr>
        <w:t xml:space="preserve"> de 0,4</w:t>
      </w:r>
      <w:r>
        <w:rPr>
          <w:rFonts w:ascii="Times New Roman" w:hAnsi="Times New Roman" w:cs="Times New Roman"/>
          <w:sz w:val="24"/>
          <w:szCs w:val="24"/>
        </w:rPr>
        <w:t xml:space="preserve"> m3/s.</w:t>
      </w:r>
    </w:p>
    <w:p w:rsidR="00824F6F" w:rsidRPr="00C22E1F" w:rsidRDefault="00824F6F" w:rsidP="00824F6F">
      <w:pPr>
        <w:autoSpaceDE w:val="0"/>
        <w:autoSpaceDN w:val="0"/>
        <w:adjustRightInd w:val="0"/>
        <w:spacing w:after="0" w:line="360" w:lineRule="auto"/>
        <w:jc w:val="both"/>
        <w:rPr>
          <w:rFonts w:ascii="Times New Roman" w:hAnsi="Times New Roman" w:cs="Times New Roman"/>
          <w:lang w:val="pt-BR"/>
        </w:rPr>
      </w:pPr>
      <w:r>
        <w:rPr>
          <w:rFonts w:ascii="Times New Roman" w:hAnsi="Times New Roman" w:cs="Times New Roman"/>
          <w:sz w:val="24"/>
          <w:szCs w:val="24"/>
        </w:rPr>
        <w:t xml:space="preserve">On dispose de quatre </w:t>
      </w:r>
      <w:r w:rsidRPr="00C22E1F">
        <w:rPr>
          <w:rFonts w:ascii="Times New Roman" w:hAnsi="Times New Roman" w:cs="Times New Roman"/>
          <w:sz w:val="24"/>
          <w:szCs w:val="24"/>
        </w:rPr>
        <w:t>sondes</w:t>
      </w:r>
      <w:r w:rsidRPr="00C22E1F">
        <w:rPr>
          <w:rFonts w:ascii="Times New Roman" w:hAnsi="Times New Roman" w:cs="Times New Roman"/>
          <w:lang w:val="pt-BR"/>
        </w:rPr>
        <w:t xml:space="preserve"> (M1 (20,100), M2 (40,100), M3 (60,100), </w:t>
      </w:r>
      <w:r w:rsidRPr="00C22E1F">
        <w:rPr>
          <w:rFonts w:ascii="Times New Roman" w:hAnsi="Times New Roman" w:cs="Times New Roman"/>
        </w:rPr>
        <w:t xml:space="preserve">M4 </w:t>
      </w:r>
      <w:r w:rsidRPr="00C22E1F">
        <w:rPr>
          <w:rFonts w:ascii="Times New Roman" w:hAnsi="Times New Roman" w:cs="Times New Roman"/>
          <w:lang w:val="pt-BR"/>
        </w:rPr>
        <w:t>(80,100)) pour meusurer</w:t>
      </w:r>
    </w:p>
    <w:p w:rsidR="00824F6F" w:rsidRPr="00C22E1F" w:rsidRDefault="00824F6F" w:rsidP="00824F6F">
      <w:pPr>
        <w:autoSpaceDE w:val="0"/>
        <w:autoSpaceDN w:val="0"/>
        <w:adjustRightInd w:val="0"/>
        <w:spacing w:after="0" w:line="360" w:lineRule="auto"/>
        <w:jc w:val="both"/>
        <w:rPr>
          <w:rFonts w:ascii="Times New Roman" w:hAnsi="Times New Roman" w:cs="Times New Roman"/>
          <w:sz w:val="24"/>
          <w:szCs w:val="24"/>
        </w:rPr>
      </w:pPr>
      <w:r w:rsidRPr="00C22E1F">
        <w:rPr>
          <w:rFonts w:ascii="Times New Roman" w:hAnsi="Times New Roman" w:cs="Times New Roman"/>
          <w:lang w:val="pt-BR"/>
        </w:rPr>
        <w:t xml:space="preserve">Lévolution de la surface libre en fonction de temps </w:t>
      </w:r>
      <w:r w:rsidR="00C22E1F" w:rsidRPr="00C22E1F">
        <w:rPr>
          <w:rFonts w:ascii="Times New Roman" w:hAnsi="Times New Roman" w:cs="Times New Roman"/>
          <w:lang w:val="pt-BR"/>
        </w:rPr>
        <w:t>(voir la figure V.16).</w:t>
      </w:r>
    </w:p>
    <w:p w:rsidR="007625C2" w:rsidRDefault="0033436F" w:rsidP="0033436F">
      <w:pPr>
        <w:spacing w:line="240" w:lineRule="auto"/>
        <w:jc w:val="center"/>
        <w:rPr>
          <w:rFonts w:asciiTheme="majorBidi" w:hAnsiTheme="majorBidi" w:cstheme="majorBidi"/>
          <w:b/>
          <w:bCs/>
        </w:rPr>
      </w:pPr>
      <w:r w:rsidRPr="0033436F">
        <w:rPr>
          <w:rFonts w:asciiTheme="majorBidi" w:hAnsiTheme="majorBidi" w:cstheme="majorBidi"/>
          <w:b/>
          <w:bCs/>
          <w:noProof/>
          <w:lang w:eastAsia="fr-FR"/>
        </w:rPr>
        <w:drawing>
          <wp:inline distT="0" distB="0" distL="0" distR="0">
            <wp:extent cx="3343275" cy="2438400"/>
            <wp:effectExtent l="0" t="0" r="0" b="0"/>
            <wp:docPr id="19" name="كائن 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5929354" cy="4857784"/>
                      <a:chOff x="1214414" y="928670"/>
                      <a:chExt cx="5929354" cy="4857784"/>
                    </a:xfrm>
                  </a:grpSpPr>
                  <a:pic>
                    <a:nvPicPr>
                      <a:cNvPr id="2" name="Picture 2"/>
                      <a:cNvPicPr>
                        <a:picLocks noChangeAspect="1" noChangeArrowheads="1"/>
                      </a:cNvPicPr>
                    </a:nvPicPr>
                    <a:blipFill>
                      <a:blip r:embed="rId24"/>
                      <a:srcRect/>
                      <a:stretch>
                        <a:fillRect/>
                      </a:stretch>
                    </a:blipFill>
                    <a:spPr bwMode="auto">
                      <a:xfrm>
                        <a:off x="1571604" y="1214422"/>
                        <a:ext cx="5214974" cy="4286280"/>
                      </a:xfrm>
                      <a:prstGeom prst="rect">
                        <a:avLst/>
                      </a:prstGeom>
                      <a:noFill/>
                      <a:ln w="9525">
                        <a:noFill/>
                        <a:miter lim="800000"/>
                        <a:headEnd/>
                        <a:tailEnd/>
                      </a:ln>
                      <a:effectLst/>
                    </a:spPr>
                  </a:pic>
                  <a:cxnSp>
                    <a:nvCxnSpPr>
                      <a:cNvPr id="20" name="رابط بشكل مرفق 19"/>
                      <a:cNvCxnSpPr/>
                    </a:nvCxnSpPr>
                    <a:spPr>
                      <a:xfrm>
                        <a:off x="1571604" y="1357298"/>
                        <a:ext cx="5143536" cy="4000528"/>
                      </a:xfrm>
                      <a:prstGeom prst="bentConnector3">
                        <a:avLst>
                          <a:gd name="adj1" fmla="val 98611"/>
                        </a:avLst>
                      </a:prstGeom>
                    </a:spPr>
                    <a:style>
                      <a:lnRef idx="2">
                        <a:schemeClr val="dk1"/>
                      </a:lnRef>
                      <a:fillRef idx="0">
                        <a:schemeClr val="dk1"/>
                      </a:fillRef>
                      <a:effectRef idx="1">
                        <a:schemeClr val="dk1"/>
                      </a:effectRef>
                      <a:fontRef idx="minor">
                        <a:schemeClr val="tx1"/>
                      </a:fontRef>
                    </a:style>
                  </a:cxnSp>
                  <a:cxnSp>
                    <a:nvCxnSpPr>
                      <a:cNvPr id="23" name="رابط بشكل مرفق 22"/>
                      <a:cNvCxnSpPr/>
                    </a:nvCxnSpPr>
                    <a:spPr>
                      <a:xfrm>
                        <a:off x="1571604" y="1357298"/>
                        <a:ext cx="5072098" cy="4000528"/>
                      </a:xfrm>
                      <a:prstGeom prst="bentConnector3">
                        <a:avLst>
                          <a:gd name="adj1" fmla="val 423"/>
                        </a:avLst>
                      </a:prstGeom>
                    </a:spPr>
                    <a:style>
                      <a:lnRef idx="2">
                        <a:schemeClr val="dk1"/>
                      </a:lnRef>
                      <a:fillRef idx="0">
                        <a:schemeClr val="dk1"/>
                      </a:fillRef>
                      <a:effectRef idx="1">
                        <a:schemeClr val="dk1"/>
                      </a:effectRef>
                      <a:fontRef idx="minor">
                        <a:schemeClr val="tx1"/>
                      </a:fontRef>
                    </a:style>
                  </a:cxnSp>
                  <a:sp>
                    <a:nvSpPr>
                      <a:cNvPr id="6" name="شكل بيضاوي 5"/>
                      <a:cNvSpPr/>
                    </a:nvSpPr>
                    <a:spPr>
                      <a:xfrm>
                        <a:off x="4071934" y="3286124"/>
                        <a:ext cx="142876" cy="142876"/>
                      </a:xfrm>
                      <a:prstGeom prst="ellipse">
                        <a:avLst/>
                      </a:prstGeom>
                    </a:spPr>
                    <a:txSp>
                      <a:txBody>
                        <a:bodyPr rtlCol="1" anchor="ctr"/>
                        <a:lstStyle>
                          <a:defPPr>
                            <a:defRPr lang="ar-SA"/>
                          </a:defPPr>
                          <a:lvl1pPr marL="0" algn="r" defTabSz="914400" rtl="1" eaLnBrk="1" latinLnBrk="0" hangingPunct="1">
                            <a:defRPr sz="1800" kern="1200">
                              <a:solidFill>
                                <a:schemeClr val="lt1"/>
                              </a:solidFill>
                              <a:latin typeface="+mn-lt"/>
                              <a:ea typeface="+mn-ea"/>
                              <a:cs typeface="+mn-cs"/>
                            </a:defRPr>
                          </a:lvl1pPr>
                          <a:lvl2pPr marL="457200" algn="r" defTabSz="914400" rtl="1" eaLnBrk="1" latinLnBrk="0" hangingPunct="1">
                            <a:defRPr sz="1800" kern="1200">
                              <a:solidFill>
                                <a:schemeClr val="lt1"/>
                              </a:solidFill>
                              <a:latin typeface="+mn-lt"/>
                              <a:ea typeface="+mn-ea"/>
                              <a:cs typeface="+mn-cs"/>
                            </a:defRPr>
                          </a:lvl2pPr>
                          <a:lvl3pPr marL="914400" algn="r" defTabSz="914400" rtl="1" eaLnBrk="1" latinLnBrk="0" hangingPunct="1">
                            <a:defRPr sz="1800" kern="1200">
                              <a:solidFill>
                                <a:schemeClr val="lt1"/>
                              </a:solidFill>
                              <a:latin typeface="+mn-lt"/>
                              <a:ea typeface="+mn-ea"/>
                              <a:cs typeface="+mn-cs"/>
                            </a:defRPr>
                          </a:lvl3pPr>
                          <a:lvl4pPr marL="1371600" algn="r" defTabSz="914400" rtl="1" eaLnBrk="1" latinLnBrk="0" hangingPunct="1">
                            <a:defRPr sz="1800" kern="1200">
                              <a:solidFill>
                                <a:schemeClr val="lt1"/>
                              </a:solidFill>
                              <a:latin typeface="+mn-lt"/>
                              <a:ea typeface="+mn-ea"/>
                              <a:cs typeface="+mn-cs"/>
                            </a:defRPr>
                          </a:lvl4pPr>
                          <a:lvl5pPr marL="1828800" algn="r" defTabSz="914400" rtl="1" eaLnBrk="1" latinLnBrk="0" hangingPunct="1">
                            <a:defRPr sz="1800" kern="1200">
                              <a:solidFill>
                                <a:schemeClr val="lt1"/>
                              </a:solidFill>
                              <a:latin typeface="+mn-lt"/>
                              <a:ea typeface="+mn-ea"/>
                              <a:cs typeface="+mn-cs"/>
                            </a:defRPr>
                          </a:lvl5pPr>
                          <a:lvl6pPr marL="2286000" algn="r" defTabSz="914400" rtl="1" eaLnBrk="1" latinLnBrk="0" hangingPunct="1">
                            <a:defRPr sz="1800" kern="1200">
                              <a:solidFill>
                                <a:schemeClr val="lt1"/>
                              </a:solidFill>
                              <a:latin typeface="+mn-lt"/>
                              <a:ea typeface="+mn-ea"/>
                              <a:cs typeface="+mn-cs"/>
                            </a:defRPr>
                          </a:lvl6pPr>
                          <a:lvl7pPr marL="2743200" algn="r" defTabSz="914400" rtl="1" eaLnBrk="1" latinLnBrk="0" hangingPunct="1">
                            <a:defRPr sz="1800" kern="1200">
                              <a:solidFill>
                                <a:schemeClr val="lt1"/>
                              </a:solidFill>
                              <a:latin typeface="+mn-lt"/>
                              <a:ea typeface="+mn-ea"/>
                              <a:cs typeface="+mn-cs"/>
                            </a:defRPr>
                          </a:lvl7pPr>
                          <a:lvl8pPr marL="3200400" algn="r" defTabSz="914400" rtl="1" eaLnBrk="1" latinLnBrk="0" hangingPunct="1">
                            <a:defRPr sz="1800" kern="1200">
                              <a:solidFill>
                                <a:schemeClr val="lt1"/>
                              </a:solidFill>
                              <a:latin typeface="+mn-lt"/>
                              <a:ea typeface="+mn-ea"/>
                              <a:cs typeface="+mn-cs"/>
                            </a:defRPr>
                          </a:lvl8pPr>
                          <a:lvl9pPr marL="3657600" algn="r" defTabSz="914400" rtl="1" eaLnBrk="1" latinLnBrk="0" hangingPunct="1">
                            <a:defRPr sz="1800" kern="1200">
                              <a:solidFill>
                                <a:schemeClr val="lt1"/>
                              </a:solidFill>
                              <a:latin typeface="+mn-lt"/>
                              <a:ea typeface="+mn-ea"/>
                              <a:cs typeface="+mn-cs"/>
                            </a:defRPr>
                          </a:lvl9pPr>
                        </a:lstStyle>
                        <a:p>
                          <a:pPr algn="ctr"/>
                          <a:endParaRPr lang="ar-SA"/>
                        </a:p>
                      </a:txBody>
                      <a:useSpRect/>
                    </a:txSp>
                    <a:style>
                      <a:lnRef idx="2">
                        <a:schemeClr val="dk1">
                          <a:shade val="50000"/>
                        </a:schemeClr>
                      </a:lnRef>
                      <a:fillRef idx="1">
                        <a:schemeClr val="dk1"/>
                      </a:fillRef>
                      <a:effectRef idx="0">
                        <a:schemeClr val="dk1"/>
                      </a:effectRef>
                      <a:fontRef idx="minor">
                        <a:schemeClr val="lt1"/>
                      </a:fontRef>
                    </a:style>
                  </a:sp>
                  <a:sp>
                    <a:nvSpPr>
                      <a:cNvPr id="16" name="شكل بيضاوي 15"/>
                      <a:cNvSpPr/>
                    </a:nvSpPr>
                    <a:spPr>
                      <a:xfrm>
                        <a:off x="3571868" y="3286124"/>
                        <a:ext cx="71438" cy="71438"/>
                      </a:xfrm>
                      <a:prstGeom prst="ellipse">
                        <a:avLst/>
                      </a:prstGeom>
                    </a:spPr>
                    <a:txSp>
                      <a:txBody>
                        <a:bodyPr rtlCol="1" anchor="ctr"/>
                        <a:lstStyle>
                          <a:defPPr>
                            <a:defRPr lang="ar-SA"/>
                          </a:defPPr>
                          <a:lvl1pPr marL="0" algn="r" defTabSz="914400" rtl="1" eaLnBrk="1" latinLnBrk="0" hangingPunct="1">
                            <a:defRPr sz="1800" kern="1200">
                              <a:solidFill>
                                <a:schemeClr val="lt1"/>
                              </a:solidFill>
                              <a:latin typeface="+mn-lt"/>
                              <a:ea typeface="+mn-ea"/>
                              <a:cs typeface="+mn-cs"/>
                            </a:defRPr>
                          </a:lvl1pPr>
                          <a:lvl2pPr marL="457200" algn="r" defTabSz="914400" rtl="1" eaLnBrk="1" latinLnBrk="0" hangingPunct="1">
                            <a:defRPr sz="1800" kern="1200">
                              <a:solidFill>
                                <a:schemeClr val="lt1"/>
                              </a:solidFill>
                              <a:latin typeface="+mn-lt"/>
                              <a:ea typeface="+mn-ea"/>
                              <a:cs typeface="+mn-cs"/>
                            </a:defRPr>
                          </a:lvl2pPr>
                          <a:lvl3pPr marL="914400" algn="r" defTabSz="914400" rtl="1" eaLnBrk="1" latinLnBrk="0" hangingPunct="1">
                            <a:defRPr sz="1800" kern="1200">
                              <a:solidFill>
                                <a:schemeClr val="lt1"/>
                              </a:solidFill>
                              <a:latin typeface="+mn-lt"/>
                              <a:ea typeface="+mn-ea"/>
                              <a:cs typeface="+mn-cs"/>
                            </a:defRPr>
                          </a:lvl3pPr>
                          <a:lvl4pPr marL="1371600" algn="r" defTabSz="914400" rtl="1" eaLnBrk="1" latinLnBrk="0" hangingPunct="1">
                            <a:defRPr sz="1800" kern="1200">
                              <a:solidFill>
                                <a:schemeClr val="lt1"/>
                              </a:solidFill>
                              <a:latin typeface="+mn-lt"/>
                              <a:ea typeface="+mn-ea"/>
                              <a:cs typeface="+mn-cs"/>
                            </a:defRPr>
                          </a:lvl4pPr>
                          <a:lvl5pPr marL="1828800" algn="r" defTabSz="914400" rtl="1" eaLnBrk="1" latinLnBrk="0" hangingPunct="1">
                            <a:defRPr sz="1800" kern="1200">
                              <a:solidFill>
                                <a:schemeClr val="lt1"/>
                              </a:solidFill>
                              <a:latin typeface="+mn-lt"/>
                              <a:ea typeface="+mn-ea"/>
                              <a:cs typeface="+mn-cs"/>
                            </a:defRPr>
                          </a:lvl5pPr>
                          <a:lvl6pPr marL="2286000" algn="r" defTabSz="914400" rtl="1" eaLnBrk="1" latinLnBrk="0" hangingPunct="1">
                            <a:defRPr sz="1800" kern="1200">
                              <a:solidFill>
                                <a:schemeClr val="lt1"/>
                              </a:solidFill>
                              <a:latin typeface="+mn-lt"/>
                              <a:ea typeface="+mn-ea"/>
                              <a:cs typeface="+mn-cs"/>
                            </a:defRPr>
                          </a:lvl6pPr>
                          <a:lvl7pPr marL="2743200" algn="r" defTabSz="914400" rtl="1" eaLnBrk="1" latinLnBrk="0" hangingPunct="1">
                            <a:defRPr sz="1800" kern="1200">
                              <a:solidFill>
                                <a:schemeClr val="lt1"/>
                              </a:solidFill>
                              <a:latin typeface="+mn-lt"/>
                              <a:ea typeface="+mn-ea"/>
                              <a:cs typeface="+mn-cs"/>
                            </a:defRPr>
                          </a:lvl7pPr>
                          <a:lvl8pPr marL="3200400" algn="r" defTabSz="914400" rtl="1" eaLnBrk="1" latinLnBrk="0" hangingPunct="1">
                            <a:defRPr sz="1800" kern="1200">
                              <a:solidFill>
                                <a:schemeClr val="lt1"/>
                              </a:solidFill>
                              <a:latin typeface="+mn-lt"/>
                              <a:ea typeface="+mn-ea"/>
                              <a:cs typeface="+mn-cs"/>
                            </a:defRPr>
                          </a:lvl8pPr>
                          <a:lvl9pPr marL="3657600" algn="r" defTabSz="914400" rtl="1" eaLnBrk="1" latinLnBrk="0" hangingPunct="1">
                            <a:defRPr sz="1800" kern="1200">
                              <a:solidFill>
                                <a:schemeClr val="lt1"/>
                              </a:solidFill>
                              <a:latin typeface="+mn-lt"/>
                              <a:ea typeface="+mn-ea"/>
                              <a:cs typeface="+mn-cs"/>
                            </a:defRPr>
                          </a:lvl9pPr>
                        </a:lstStyle>
                        <a:p>
                          <a:pPr algn="ctr"/>
                          <a:endParaRPr lang="ar-SA"/>
                        </a:p>
                      </a:txBody>
                      <a:useSpRect/>
                    </a:txSp>
                    <a:style>
                      <a:lnRef idx="2">
                        <a:schemeClr val="dk1">
                          <a:shade val="50000"/>
                        </a:schemeClr>
                      </a:lnRef>
                      <a:fillRef idx="1">
                        <a:schemeClr val="dk1"/>
                      </a:fillRef>
                      <a:effectRef idx="0">
                        <a:schemeClr val="dk1"/>
                      </a:effectRef>
                      <a:fontRef idx="minor">
                        <a:schemeClr val="lt1"/>
                      </a:fontRef>
                    </a:style>
                  </a:sp>
                  <a:sp>
                    <a:nvSpPr>
                      <a:cNvPr id="17" name="شكل بيضاوي 16"/>
                      <a:cNvSpPr/>
                    </a:nvSpPr>
                    <a:spPr>
                      <a:xfrm>
                        <a:off x="2571736" y="3286124"/>
                        <a:ext cx="71438" cy="71438"/>
                      </a:xfrm>
                      <a:prstGeom prst="ellipse">
                        <a:avLst/>
                      </a:prstGeom>
                    </a:spPr>
                    <a:txSp>
                      <a:txBody>
                        <a:bodyPr rtlCol="1" anchor="ctr"/>
                        <a:lstStyle>
                          <a:defPPr>
                            <a:defRPr lang="ar-SA"/>
                          </a:defPPr>
                          <a:lvl1pPr marL="0" algn="r" defTabSz="914400" rtl="1" eaLnBrk="1" latinLnBrk="0" hangingPunct="1">
                            <a:defRPr sz="1800" kern="1200">
                              <a:solidFill>
                                <a:schemeClr val="lt1"/>
                              </a:solidFill>
                              <a:latin typeface="+mn-lt"/>
                              <a:ea typeface="+mn-ea"/>
                              <a:cs typeface="+mn-cs"/>
                            </a:defRPr>
                          </a:lvl1pPr>
                          <a:lvl2pPr marL="457200" algn="r" defTabSz="914400" rtl="1" eaLnBrk="1" latinLnBrk="0" hangingPunct="1">
                            <a:defRPr sz="1800" kern="1200">
                              <a:solidFill>
                                <a:schemeClr val="lt1"/>
                              </a:solidFill>
                              <a:latin typeface="+mn-lt"/>
                              <a:ea typeface="+mn-ea"/>
                              <a:cs typeface="+mn-cs"/>
                            </a:defRPr>
                          </a:lvl2pPr>
                          <a:lvl3pPr marL="914400" algn="r" defTabSz="914400" rtl="1" eaLnBrk="1" latinLnBrk="0" hangingPunct="1">
                            <a:defRPr sz="1800" kern="1200">
                              <a:solidFill>
                                <a:schemeClr val="lt1"/>
                              </a:solidFill>
                              <a:latin typeface="+mn-lt"/>
                              <a:ea typeface="+mn-ea"/>
                              <a:cs typeface="+mn-cs"/>
                            </a:defRPr>
                          </a:lvl3pPr>
                          <a:lvl4pPr marL="1371600" algn="r" defTabSz="914400" rtl="1" eaLnBrk="1" latinLnBrk="0" hangingPunct="1">
                            <a:defRPr sz="1800" kern="1200">
                              <a:solidFill>
                                <a:schemeClr val="lt1"/>
                              </a:solidFill>
                              <a:latin typeface="+mn-lt"/>
                              <a:ea typeface="+mn-ea"/>
                              <a:cs typeface="+mn-cs"/>
                            </a:defRPr>
                          </a:lvl4pPr>
                          <a:lvl5pPr marL="1828800" algn="r" defTabSz="914400" rtl="1" eaLnBrk="1" latinLnBrk="0" hangingPunct="1">
                            <a:defRPr sz="1800" kern="1200">
                              <a:solidFill>
                                <a:schemeClr val="lt1"/>
                              </a:solidFill>
                              <a:latin typeface="+mn-lt"/>
                              <a:ea typeface="+mn-ea"/>
                              <a:cs typeface="+mn-cs"/>
                            </a:defRPr>
                          </a:lvl5pPr>
                          <a:lvl6pPr marL="2286000" algn="r" defTabSz="914400" rtl="1" eaLnBrk="1" latinLnBrk="0" hangingPunct="1">
                            <a:defRPr sz="1800" kern="1200">
                              <a:solidFill>
                                <a:schemeClr val="lt1"/>
                              </a:solidFill>
                              <a:latin typeface="+mn-lt"/>
                              <a:ea typeface="+mn-ea"/>
                              <a:cs typeface="+mn-cs"/>
                            </a:defRPr>
                          </a:lvl6pPr>
                          <a:lvl7pPr marL="2743200" algn="r" defTabSz="914400" rtl="1" eaLnBrk="1" latinLnBrk="0" hangingPunct="1">
                            <a:defRPr sz="1800" kern="1200">
                              <a:solidFill>
                                <a:schemeClr val="lt1"/>
                              </a:solidFill>
                              <a:latin typeface="+mn-lt"/>
                              <a:ea typeface="+mn-ea"/>
                              <a:cs typeface="+mn-cs"/>
                            </a:defRPr>
                          </a:lvl7pPr>
                          <a:lvl8pPr marL="3200400" algn="r" defTabSz="914400" rtl="1" eaLnBrk="1" latinLnBrk="0" hangingPunct="1">
                            <a:defRPr sz="1800" kern="1200">
                              <a:solidFill>
                                <a:schemeClr val="lt1"/>
                              </a:solidFill>
                              <a:latin typeface="+mn-lt"/>
                              <a:ea typeface="+mn-ea"/>
                              <a:cs typeface="+mn-cs"/>
                            </a:defRPr>
                          </a:lvl8pPr>
                          <a:lvl9pPr marL="3657600" algn="r" defTabSz="914400" rtl="1" eaLnBrk="1" latinLnBrk="0" hangingPunct="1">
                            <a:defRPr sz="1800" kern="1200">
                              <a:solidFill>
                                <a:schemeClr val="lt1"/>
                              </a:solidFill>
                              <a:latin typeface="+mn-lt"/>
                              <a:ea typeface="+mn-ea"/>
                              <a:cs typeface="+mn-cs"/>
                            </a:defRPr>
                          </a:lvl9pPr>
                        </a:lstStyle>
                        <a:p>
                          <a:pPr algn="ctr"/>
                          <a:endParaRPr lang="ar-SA"/>
                        </a:p>
                      </a:txBody>
                      <a:useSpRect/>
                    </a:txSp>
                    <a:style>
                      <a:lnRef idx="2">
                        <a:schemeClr val="dk1">
                          <a:shade val="50000"/>
                        </a:schemeClr>
                      </a:lnRef>
                      <a:fillRef idx="1">
                        <a:schemeClr val="dk1"/>
                      </a:fillRef>
                      <a:effectRef idx="0">
                        <a:schemeClr val="dk1"/>
                      </a:effectRef>
                      <a:fontRef idx="minor">
                        <a:schemeClr val="lt1"/>
                      </a:fontRef>
                    </a:style>
                  </a:sp>
                  <a:sp>
                    <a:nvSpPr>
                      <a:cNvPr id="18" name="شكل بيضاوي 17"/>
                      <a:cNvSpPr/>
                    </a:nvSpPr>
                    <a:spPr>
                      <a:xfrm>
                        <a:off x="3071802" y="3286124"/>
                        <a:ext cx="71438" cy="71438"/>
                      </a:xfrm>
                      <a:prstGeom prst="ellipse">
                        <a:avLst/>
                      </a:prstGeom>
                    </a:spPr>
                    <a:txSp>
                      <a:txBody>
                        <a:bodyPr rtlCol="1" anchor="ctr"/>
                        <a:lstStyle>
                          <a:defPPr>
                            <a:defRPr lang="ar-SA"/>
                          </a:defPPr>
                          <a:lvl1pPr marL="0" algn="r" defTabSz="914400" rtl="1" eaLnBrk="1" latinLnBrk="0" hangingPunct="1">
                            <a:defRPr sz="1800" kern="1200">
                              <a:solidFill>
                                <a:schemeClr val="lt1"/>
                              </a:solidFill>
                              <a:latin typeface="+mn-lt"/>
                              <a:ea typeface="+mn-ea"/>
                              <a:cs typeface="+mn-cs"/>
                            </a:defRPr>
                          </a:lvl1pPr>
                          <a:lvl2pPr marL="457200" algn="r" defTabSz="914400" rtl="1" eaLnBrk="1" latinLnBrk="0" hangingPunct="1">
                            <a:defRPr sz="1800" kern="1200">
                              <a:solidFill>
                                <a:schemeClr val="lt1"/>
                              </a:solidFill>
                              <a:latin typeface="+mn-lt"/>
                              <a:ea typeface="+mn-ea"/>
                              <a:cs typeface="+mn-cs"/>
                            </a:defRPr>
                          </a:lvl2pPr>
                          <a:lvl3pPr marL="914400" algn="r" defTabSz="914400" rtl="1" eaLnBrk="1" latinLnBrk="0" hangingPunct="1">
                            <a:defRPr sz="1800" kern="1200">
                              <a:solidFill>
                                <a:schemeClr val="lt1"/>
                              </a:solidFill>
                              <a:latin typeface="+mn-lt"/>
                              <a:ea typeface="+mn-ea"/>
                              <a:cs typeface="+mn-cs"/>
                            </a:defRPr>
                          </a:lvl3pPr>
                          <a:lvl4pPr marL="1371600" algn="r" defTabSz="914400" rtl="1" eaLnBrk="1" latinLnBrk="0" hangingPunct="1">
                            <a:defRPr sz="1800" kern="1200">
                              <a:solidFill>
                                <a:schemeClr val="lt1"/>
                              </a:solidFill>
                              <a:latin typeface="+mn-lt"/>
                              <a:ea typeface="+mn-ea"/>
                              <a:cs typeface="+mn-cs"/>
                            </a:defRPr>
                          </a:lvl4pPr>
                          <a:lvl5pPr marL="1828800" algn="r" defTabSz="914400" rtl="1" eaLnBrk="1" latinLnBrk="0" hangingPunct="1">
                            <a:defRPr sz="1800" kern="1200">
                              <a:solidFill>
                                <a:schemeClr val="lt1"/>
                              </a:solidFill>
                              <a:latin typeface="+mn-lt"/>
                              <a:ea typeface="+mn-ea"/>
                              <a:cs typeface="+mn-cs"/>
                            </a:defRPr>
                          </a:lvl5pPr>
                          <a:lvl6pPr marL="2286000" algn="r" defTabSz="914400" rtl="1" eaLnBrk="1" latinLnBrk="0" hangingPunct="1">
                            <a:defRPr sz="1800" kern="1200">
                              <a:solidFill>
                                <a:schemeClr val="lt1"/>
                              </a:solidFill>
                              <a:latin typeface="+mn-lt"/>
                              <a:ea typeface="+mn-ea"/>
                              <a:cs typeface="+mn-cs"/>
                            </a:defRPr>
                          </a:lvl6pPr>
                          <a:lvl7pPr marL="2743200" algn="r" defTabSz="914400" rtl="1" eaLnBrk="1" latinLnBrk="0" hangingPunct="1">
                            <a:defRPr sz="1800" kern="1200">
                              <a:solidFill>
                                <a:schemeClr val="lt1"/>
                              </a:solidFill>
                              <a:latin typeface="+mn-lt"/>
                              <a:ea typeface="+mn-ea"/>
                              <a:cs typeface="+mn-cs"/>
                            </a:defRPr>
                          </a:lvl7pPr>
                          <a:lvl8pPr marL="3200400" algn="r" defTabSz="914400" rtl="1" eaLnBrk="1" latinLnBrk="0" hangingPunct="1">
                            <a:defRPr sz="1800" kern="1200">
                              <a:solidFill>
                                <a:schemeClr val="lt1"/>
                              </a:solidFill>
                              <a:latin typeface="+mn-lt"/>
                              <a:ea typeface="+mn-ea"/>
                              <a:cs typeface="+mn-cs"/>
                            </a:defRPr>
                          </a:lvl8pPr>
                          <a:lvl9pPr marL="3657600" algn="r" defTabSz="914400" rtl="1" eaLnBrk="1" latinLnBrk="0" hangingPunct="1">
                            <a:defRPr sz="1800" kern="1200">
                              <a:solidFill>
                                <a:schemeClr val="lt1"/>
                              </a:solidFill>
                              <a:latin typeface="+mn-lt"/>
                              <a:ea typeface="+mn-ea"/>
                              <a:cs typeface="+mn-cs"/>
                            </a:defRPr>
                          </a:lvl9pPr>
                        </a:lstStyle>
                        <a:p>
                          <a:pPr algn="ctr"/>
                          <a:endParaRPr lang="ar-SA"/>
                        </a:p>
                      </a:txBody>
                      <a:useSpRect/>
                    </a:txSp>
                    <a:style>
                      <a:lnRef idx="2">
                        <a:schemeClr val="dk1">
                          <a:shade val="50000"/>
                        </a:schemeClr>
                      </a:lnRef>
                      <a:fillRef idx="1">
                        <a:schemeClr val="dk1"/>
                      </a:fillRef>
                      <a:effectRef idx="0">
                        <a:schemeClr val="dk1"/>
                      </a:effectRef>
                      <a:fontRef idx="minor">
                        <a:schemeClr val="lt1"/>
                      </a:fontRef>
                    </a:style>
                  </a:sp>
                  <a:sp>
                    <a:nvSpPr>
                      <a:cNvPr id="19" name="شكل بيضاوي 18"/>
                      <a:cNvSpPr/>
                    </a:nvSpPr>
                    <a:spPr>
                      <a:xfrm>
                        <a:off x="2071670" y="3286124"/>
                        <a:ext cx="71438" cy="71438"/>
                      </a:xfrm>
                      <a:prstGeom prst="ellipse">
                        <a:avLst/>
                      </a:prstGeom>
                    </a:spPr>
                    <a:txSp>
                      <a:txBody>
                        <a:bodyPr rtlCol="1" anchor="ctr"/>
                        <a:lstStyle>
                          <a:defPPr>
                            <a:defRPr lang="ar-SA"/>
                          </a:defPPr>
                          <a:lvl1pPr marL="0" algn="r" defTabSz="914400" rtl="1" eaLnBrk="1" latinLnBrk="0" hangingPunct="1">
                            <a:defRPr sz="1800" kern="1200">
                              <a:solidFill>
                                <a:schemeClr val="lt1"/>
                              </a:solidFill>
                              <a:latin typeface="+mn-lt"/>
                              <a:ea typeface="+mn-ea"/>
                              <a:cs typeface="+mn-cs"/>
                            </a:defRPr>
                          </a:lvl1pPr>
                          <a:lvl2pPr marL="457200" algn="r" defTabSz="914400" rtl="1" eaLnBrk="1" latinLnBrk="0" hangingPunct="1">
                            <a:defRPr sz="1800" kern="1200">
                              <a:solidFill>
                                <a:schemeClr val="lt1"/>
                              </a:solidFill>
                              <a:latin typeface="+mn-lt"/>
                              <a:ea typeface="+mn-ea"/>
                              <a:cs typeface="+mn-cs"/>
                            </a:defRPr>
                          </a:lvl2pPr>
                          <a:lvl3pPr marL="914400" algn="r" defTabSz="914400" rtl="1" eaLnBrk="1" latinLnBrk="0" hangingPunct="1">
                            <a:defRPr sz="1800" kern="1200">
                              <a:solidFill>
                                <a:schemeClr val="lt1"/>
                              </a:solidFill>
                              <a:latin typeface="+mn-lt"/>
                              <a:ea typeface="+mn-ea"/>
                              <a:cs typeface="+mn-cs"/>
                            </a:defRPr>
                          </a:lvl3pPr>
                          <a:lvl4pPr marL="1371600" algn="r" defTabSz="914400" rtl="1" eaLnBrk="1" latinLnBrk="0" hangingPunct="1">
                            <a:defRPr sz="1800" kern="1200">
                              <a:solidFill>
                                <a:schemeClr val="lt1"/>
                              </a:solidFill>
                              <a:latin typeface="+mn-lt"/>
                              <a:ea typeface="+mn-ea"/>
                              <a:cs typeface="+mn-cs"/>
                            </a:defRPr>
                          </a:lvl4pPr>
                          <a:lvl5pPr marL="1828800" algn="r" defTabSz="914400" rtl="1" eaLnBrk="1" latinLnBrk="0" hangingPunct="1">
                            <a:defRPr sz="1800" kern="1200">
                              <a:solidFill>
                                <a:schemeClr val="lt1"/>
                              </a:solidFill>
                              <a:latin typeface="+mn-lt"/>
                              <a:ea typeface="+mn-ea"/>
                              <a:cs typeface="+mn-cs"/>
                            </a:defRPr>
                          </a:lvl5pPr>
                          <a:lvl6pPr marL="2286000" algn="r" defTabSz="914400" rtl="1" eaLnBrk="1" latinLnBrk="0" hangingPunct="1">
                            <a:defRPr sz="1800" kern="1200">
                              <a:solidFill>
                                <a:schemeClr val="lt1"/>
                              </a:solidFill>
                              <a:latin typeface="+mn-lt"/>
                              <a:ea typeface="+mn-ea"/>
                              <a:cs typeface="+mn-cs"/>
                            </a:defRPr>
                          </a:lvl6pPr>
                          <a:lvl7pPr marL="2743200" algn="r" defTabSz="914400" rtl="1" eaLnBrk="1" latinLnBrk="0" hangingPunct="1">
                            <a:defRPr sz="1800" kern="1200">
                              <a:solidFill>
                                <a:schemeClr val="lt1"/>
                              </a:solidFill>
                              <a:latin typeface="+mn-lt"/>
                              <a:ea typeface="+mn-ea"/>
                              <a:cs typeface="+mn-cs"/>
                            </a:defRPr>
                          </a:lvl7pPr>
                          <a:lvl8pPr marL="3200400" algn="r" defTabSz="914400" rtl="1" eaLnBrk="1" latinLnBrk="0" hangingPunct="1">
                            <a:defRPr sz="1800" kern="1200">
                              <a:solidFill>
                                <a:schemeClr val="lt1"/>
                              </a:solidFill>
                              <a:latin typeface="+mn-lt"/>
                              <a:ea typeface="+mn-ea"/>
                              <a:cs typeface="+mn-cs"/>
                            </a:defRPr>
                          </a:lvl8pPr>
                          <a:lvl9pPr marL="3657600" algn="r" defTabSz="914400" rtl="1" eaLnBrk="1" latinLnBrk="0" hangingPunct="1">
                            <a:defRPr sz="1800" kern="1200">
                              <a:solidFill>
                                <a:schemeClr val="lt1"/>
                              </a:solidFill>
                              <a:latin typeface="+mn-lt"/>
                              <a:ea typeface="+mn-ea"/>
                              <a:cs typeface="+mn-cs"/>
                            </a:defRPr>
                          </a:lvl9pPr>
                        </a:lstStyle>
                        <a:p>
                          <a:pPr algn="ctr"/>
                          <a:endParaRPr lang="ar-SA"/>
                        </a:p>
                      </a:txBody>
                      <a:useSpRect/>
                    </a:txSp>
                    <a:style>
                      <a:lnRef idx="2">
                        <a:schemeClr val="dk1">
                          <a:shade val="50000"/>
                        </a:schemeClr>
                      </a:lnRef>
                      <a:fillRef idx="1">
                        <a:schemeClr val="dk1"/>
                      </a:fillRef>
                      <a:effectRef idx="0">
                        <a:schemeClr val="dk1"/>
                      </a:effectRef>
                      <a:fontRef idx="minor">
                        <a:schemeClr val="lt1"/>
                      </a:fontRef>
                    </a:style>
                  </a:sp>
                  <a:sp>
                    <a:nvSpPr>
                      <a:cNvPr id="22" name="مستطيل 21"/>
                      <a:cNvSpPr/>
                    </a:nvSpPr>
                    <a:spPr>
                      <a:xfrm>
                        <a:off x="3353956" y="3286124"/>
                        <a:ext cx="503664" cy="369332"/>
                      </a:xfrm>
                      <a:prstGeom prst="rect">
                        <a:avLst/>
                      </a:prstGeom>
                    </a:spPr>
                    <a:txSp>
                      <a:txBody>
                        <a:bodyPr wrap="none">
                          <a:spAutoFit/>
                        </a:bodyPr>
                        <a:lstStyle>
                          <a:defPPr>
                            <a:defRPr lang="ar-SA"/>
                          </a:defPPr>
                          <a:lvl1pPr marL="0" algn="r" defTabSz="914400" rtl="1" eaLnBrk="1" latinLnBrk="0" hangingPunct="1">
                            <a:defRPr sz="1800" kern="1200">
                              <a:solidFill>
                                <a:schemeClr val="tx1"/>
                              </a:solidFill>
                              <a:latin typeface="+mn-lt"/>
                              <a:ea typeface="+mn-ea"/>
                              <a:cs typeface="+mn-cs"/>
                            </a:defRPr>
                          </a:lvl1pPr>
                          <a:lvl2pPr marL="457200" algn="r" defTabSz="914400" rtl="1" eaLnBrk="1" latinLnBrk="0" hangingPunct="1">
                            <a:defRPr sz="1800" kern="1200">
                              <a:solidFill>
                                <a:schemeClr val="tx1"/>
                              </a:solidFill>
                              <a:latin typeface="+mn-lt"/>
                              <a:ea typeface="+mn-ea"/>
                              <a:cs typeface="+mn-cs"/>
                            </a:defRPr>
                          </a:lvl2pPr>
                          <a:lvl3pPr marL="914400" algn="r" defTabSz="914400" rtl="1" eaLnBrk="1" latinLnBrk="0" hangingPunct="1">
                            <a:defRPr sz="1800" kern="1200">
                              <a:solidFill>
                                <a:schemeClr val="tx1"/>
                              </a:solidFill>
                              <a:latin typeface="+mn-lt"/>
                              <a:ea typeface="+mn-ea"/>
                              <a:cs typeface="+mn-cs"/>
                            </a:defRPr>
                          </a:lvl3pPr>
                          <a:lvl4pPr marL="1371600" algn="r" defTabSz="914400" rtl="1" eaLnBrk="1" latinLnBrk="0" hangingPunct="1">
                            <a:defRPr sz="1800" kern="1200">
                              <a:solidFill>
                                <a:schemeClr val="tx1"/>
                              </a:solidFill>
                              <a:latin typeface="+mn-lt"/>
                              <a:ea typeface="+mn-ea"/>
                              <a:cs typeface="+mn-cs"/>
                            </a:defRPr>
                          </a:lvl4pPr>
                          <a:lvl5pPr marL="1828800" algn="r" defTabSz="914400" rtl="1" eaLnBrk="1" latinLnBrk="0" hangingPunct="1">
                            <a:defRPr sz="1800" kern="1200">
                              <a:solidFill>
                                <a:schemeClr val="tx1"/>
                              </a:solidFill>
                              <a:latin typeface="+mn-lt"/>
                              <a:ea typeface="+mn-ea"/>
                              <a:cs typeface="+mn-cs"/>
                            </a:defRPr>
                          </a:lvl5pPr>
                          <a:lvl6pPr marL="2286000" algn="r" defTabSz="914400" rtl="1" eaLnBrk="1" latinLnBrk="0" hangingPunct="1">
                            <a:defRPr sz="1800" kern="1200">
                              <a:solidFill>
                                <a:schemeClr val="tx1"/>
                              </a:solidFill>
                              <a:latin typeface="+mn-lt"/>
                              <a:ea typeface="+mn-ea"/>
                              <a:cs typeface="+mn-cs"/>
                            </a:defRPr>
                          </a:lvl6pPr>
                          <a:lvl7pPr marL="2743200" algn="r" defTabSz="914400" rtl="1" eaLnBrk="1" latinLnBrk="0" hangingPunct="1">
                            <a:defRPr sz="1800" kern="1200">
                              <a:solidFill>
                                <a:schemeClr val="tx1"/>
                              </a:solidFill>
                              <a:latin typeface="+mn-lt"/>
                              <a:ea typeface="+mn-ea"/>
                              <a:cs typeface="+mn-cs"/>
                            </a:defRPr>
                          </a:lvl7pPr>
                          <a:lvl8pPr marL="3200400" algn="r" defTabSz="914400" rtl="1" eaLnBrk="1" latinLnBrk="0" hangingPunct="1">
                            <a:defRPr sz="1800" kern="1200">
                              <a:solidFill>
                                <a:schemeClr val="tx1"/>
                              </a:solidFill>
                              <a:latin typeface="+mn-lt"/>
                              <a:ea typeface="+mn-ea"/>
                              <a:cs typeface="+mn-cs"/>
                            </a:defRPr>
                          </a:lvl8pPr>
                          <a:lvl9pPr marL="3657600" algn="r" defTabSz="914400" rtl="1" eaLnBrk="1" latinLnBrk="0" hangingPunct="1">
                            <a:defRPr sz="1800" kern="1200">
                              <a:solidFill>
                                <a:schemeClr val="tx1"/>
                              </a:solidFill>
                              <a:latin typeface="+mn-lt"/>
                              <a:ea typeface="+mn-ea"/>
                              <a:cs typeface="+mn-cs"/>
                            </a:defRPr>
                          </a:lvl9pPr>
                        </a:lstStyle>
                        <a:p>
                          <a:r>
                            <a:rPr lang="en-US" b="1" dirty="0" smtClean="0"/>
                            <a:t>M4</a:t>
                          </a:r>
                          <a:endParaRPr lang="ar-SA" dirty="0"/>
                        </a:p>
                      </a:txBody>
                      <a:useSpRect/>
                    </a:txSp>
                  </a:sp>
                  <a:sp>
                    <a:nvSpPr>
                      <a:cNvPr id="24" name="مستطيل 23"/>
                      <a:cNvSpPr/>
                    </a:nvSpPr>
                    <a:spPr>
                      <a:xfrm>
                        <a:off x="2853891" y="3286124"/>
                        <a:ext cx="503663" cy="369332"/>
                      </a:xfrm>
                      <a:prstGeom prst="rect">
                        <a:avLst/>
                      </a:prstGeom>
                    </a:spPr>
                    <a:txSp>
                      <a:txBody>
                        <a:bodyPr wrap="none">
                          <a:spAutoFit/>
                        </a:bodyPr>
                        <a:lstStyle>
                          <a:defPPr>
                            <a:defRPr lang="ar-SA"/>
                          </a:defPPr>
                          <a:lvl1pPr marL="0" algn="r" defTabSz="914400" rtl="1" eaLnBrk="1" latinLnBrk="0" hangingPunct="1">
                            <a:defRPr sz="1800" kern="1200">
                              <a:solidFill>
                                <a:schemeClr val="tx1"/>
                              </a:solidFill>
                              <a:latin typeface="+mn-lt"/>
                              <a:ea typeface="+mn-ea"/>
                              <a:cs typeface="+mn-cs"/>
                            </a:defRPr>
                          </a:lvl1pPr>
                          <a:lvl2pPr marL="457200" algn="r" defTabSz="914400" rtl="1" eaLnBrk="1" latinLnBrk="0" hangingPunct="1">
                            <a:defRPr sz="1800" kern="1200">
                              <a:solidFill>
                                <a:schemeClr val="tx1"/>
                              </a:solidFill>
                              <a:latin typeface="+mn-lt"/>
                              <a:ea typeface="+mn-ea"/>
                              <a:cs typeface="+mn-cs"/>
                            </a:defRPr>
                          </a:lvl2pPr>
                          <a:lvl3pPr marL="914400" algn="r" defTabSz="914400" rtl="1" eaLnBrk="1" latinLnBrk="0" hangingPunct="1">
                            <a:defRPr sz="1800" kern="1200">
                              <a:solidFill>
                                <a:schemeClr val="tx1"/>
                              </a:solidFill>
                              <a:latin typeface="+mn-lt"/>
                              <a:ea typeface="+mn-ea"/>
                              <a:cs typeface="+mn-cs"/>
                            </a:defRPr>
                          </a:lvl3pPr>
                          <a:lvl4pPr marL="1371600" algn="r" defTabSz="914400" rtl="1" eaLnBrk="1" latinLnBrk="0" hangingPunct="1">
                            <a:defRPr sz="1800" kern="1200">
                              <a:solidFill>
                                <a:schemeClr val="tx1"/>
                              </a:solidFill>
                              <a:latin typeface="+mn-lt"/>
                              <a:ea typeface="+mn-ea"/>
                              <a:cs typeface="+mn-cs"/>
                            </a:defRPr>
                          </a:lvl4pPr>
                          <a:lvl5pPr marL="1828800" algn="r" defTabSz="914400" rtl="1" eaLnBrk="1" latinLnBrk="0" hangingPunct="1">
                            <a:defRPr sz="1800" kern="1200">
                              <a:solidFill>
                                <a:schemeClr val="tx1"/>
                              </a:solidFill>
                              <a:latin typeface="+mn-lt"/>
                              <a:ea typeface="+mn-ea"/>
                              <a:cs typeface="+mn-cs"/>
                            </a:defRPr>
                          </a:lvl5pPr>
                          <a:lvl6pPr marL="2286000" algn="r" defTabSz="914400" rtl="1" eaLnBrk="1" latinLnBrk="0" hangingPunct="1">
                            <a:defRPr sz="1800" kern="1200">
                              <a:solidFill>
                                <a:schemeClr val="tx1"/>
                              </a:solidFill>
                              <a:latin typeface="+mn-lt"/>
                              <a:ea typeface="+mn-ea"/>
                              <a:cs typeface="+mn-cs"/>
                            </a:defRPr>
                          </a:lvl6pPr>
                          <a:lvl7pPr marL="2743200" algn="r" defTabSz="914400" rtl="1" eaLnBrk="1" latinLnBrk="0" hangingPunct="1">
                            <a:defRPr sz="1800" kern="1200">
                              <a:solidFill>
                                <a:schemeClr val="tx1"/>
                              </a:solidFill>
                              <a:latin typeface="+mn-lt"/>
                              <a:ea typeface="+mn-ea"/>
                              <a:cs typeface="+mn-cs"/>
                            </a:defRPr>
                          </a:lvl7pPr>
                          <a:lvl8pPr marL="3200400" algn="r" defTabSz="914400" rtl="1" eaLnBrk="1" latinLnBrk="0" hangingPunct="1">
                            <a:defRPr sz="1800" kern="1200">
                              <a:solidFill>
                                <a:schemeClr val="tx1"/>
                              </a:solidFill>
                              <a:latin typeface="+mn-lt"/>
                              <a:ea typeface="+mn-ea"/>
                              <a:cs typeface="+mn-cs"/>
                            </a:defRPr>
                          </a:lvl8pPr>
                          <a:lvl9pPr marL="3657600" algn="r" defTabSz="914400" rtl="1" eaLnBrk="1" latinLnBrk="0" hangingPunct="1">
                            <a:defRPr sz="1800" kern="1200">
                              <a:solidFill>
                                <a:schemeClr val="tx1"/>
                              </a:solidFill>
                              <a:latin typeface="+mn-lt"/>
                              <a:ea typeface="+mn-ea"/>
                              <a:cs typeface="+mn-cs"/>
                            </a:defRPr>
                          </a:lvl9pPr>
                        </a:lstStyle>
                        <a:p>
                          <a:r>
                            <a:rPr lang="en-US" b="1" dirty="0" smtClean="0"/>
                            <a:t>M3</a:t>
                          </a:r>
                          <a:endParaRPr lang="ar-SA" dirty="0"/>
                        </a:p>
                      </a:txBody>
                      <a:useSpRect/>
                    </a:txSp>
                  </a:sp>
                  <a:sp>
                    <a:nvSpPr>
                      <a:cNvPr id="25" name="مستطيل 24"/>
                      <a:cNvSpPr/>
                    </a:nvSpPr>
                    <a:spPr>
                      <a:xfrm>
                        <a:off x="2353825" y="3286124"/>
                        <a:ext cx="503663" cy="369332"/>
                      </a:xfrm>
                      <a:prstGeom prst="rect">
                        <a:avLst/>
                      </a:prstGeom>
                    </a:spPr>
                    <a:txSp>
                      <a:txBody>
                        <a:bodyPr wrap="none">
                          <a:spAutoFit/>
                        </a:bodyPr>
                        <a:lstStyle>
                          <a:defPPr>
                            <a:defRPr lang="ar-SA"/>
                          </a:defPPr>
                          <a:lvl1pPr marL="0" algn="r" defTabSz="914400" rtl="1" eaLnBrk="1" latinLnBrk="0" hangingPunct="1">
                            <a:defRPr sz="1800" kern="1200">
                              <a:solidFill>
                                <a:schemeClr val="tx1"/>
                              </a:solidFill>
                              <a:latin typeface="+mn-lt"/>
                              <a:ea typeface="+mn-ea"/>
                              <a:cs typeface="+mn-cs"/>
                            </a:defRPr>
                          </a:lvl1pPr>
                          <a:lvl2pPr marL="457200" algn="r" defTabSz="914400" rtl="1" eaLnBrk="1" latinLnBrk="0" hangingPunct="1">
                            <a:defRPr sz="1800" kern="1200">
                              <a:solidFill>
                                <a:schemeClr val="tx1"/>
                              </a:solidFill>
                              <a:latin typeface="+mn-lt"/>
                              <a:ea typeface="+mn-ea"/>
                              <a:cs typeface="+mn-cs"/>
                            </a:defRPr>
                          </a:lvl2pPr>
                          <a:lvl3pPr marL="914400" algn="r" defTabSz="914400" rtl="1" eaLnBrk="1" latinLnBrk="0" hangingPunct="1">
                            <a:defRPr sz="1800" kern="1200">
                              <a:solidFill>
                                <a:schemeClr val="tx1"/>
                              </a:solidFill>
                              <a:latin typeface="+mn-lt"/>
                              <a:ea typeface="+mn-ea"/>
                              <a:cs typeface="+mn-cs"/>
                            </a:defRPr>
                          </a:lvl3pPr>
                          <a:lvl4pPr marL="1371600" algn="r" defTabSz="914400" rtl="1" eaLnBrk="1" latinLnBrk="0" hangingPunct="1">
                            <a:defRPr sz="1800" kern="1200">
                              <a:solidFill>
                                <a:schemeClr val="tx1"/>
                              </a:solidFill>
                              <a:latin typeface="+mn-lt"/>
                              <a:ea typeface="+mn-ea"/>
                              <a:cs typeface="+mn-cs"/>
                            </a:defRPr>
                          </a:lvl4pPr>
                          <a:lvl5pPr marL="1828800" algn="r" defTabSz="914400" rtl="1" eaLnBrk="1" latinLnBrk="0" hangingPunct="1">
                            <a:defRPr sz="1800" kern="1200">
                              <a:solidFill>
                                <a:schemeClr val="tx1"/>
                              </a:solidFill>
                              <a:latin typeface="+mn-lt"/>
                              <a:ea typeface="+mn-ea"/>
                              <a:cs typeface="+mn-cs"/>
                            </a:defRPr>
                          </a:lvl5pPr>
                          <a:lvl6pPr marL="2286000" algn="r" defTabSz="914400" rtl="1" eaLnBrk="1" latinLnBrk="0" hangingPunct="1">
                            <a:defRPr sz="1800" kern="1200">
                              <a:solidFill>
                                <a:schemeClr val="tx1"/>
                              </a:solidFill>
                              <a:latin typeface="+mn-lt"/>
                              <a:ea typeface="+mn-ea"/>
                              <a:cs typeface="+mn-cs"/>
                            </a:defRPr>
                          </a:lvl6pPr>
                          <a:lvl7pPr marL="2743200" algn="r" defTabSz="914400" rtl="1" eaLnBrk="1" latinLnBrk="0" hangingPunct="1">
                            <a:defRPr sz="1800" kern="1200">
                              <a:solidFill>
                                <a:schemeClr val="tx1"/>
                              </a:solidFill>
                              <a:latin typeface="+mn-lt"/>
                              <a:ea typeface="+mn-ea"/>
                              <a:cs typeface="+mn-cs"/>
                            </a:defRPr>
                          </a:lvl7pPr>
                          <a:lvl8pPr marL="3200400" algn="r" defTabSz="914400" rtl="1" eaLnBrk="1" latinLnBrk="0" hangingPunct="1">
                            <a:defRPr sz="1800" kern="1200">
                              <a:solidFill>
                                <a:schemeClr val="tx1"/>
                              </a:solidFill>
                              <a:latin typeface="+mn-lt"/>
                              <a:ea typeface="+mn-ea"/>
                              <a:cs typeface="+mn-cs"/>
                            </a:defRPr>
                          </a:lvl8pPr>
                          <a:lvl9pPr marL="3657600" algn="r" defTabSz="914400" rtl="1" eaLnBrk="1" latinLnBrk="0" hangingPunct="1">
                            <a:defRPr sz="1800" kern="1200">
                              <a:solidFill>
                                <a:schemeClr val="tx1"/>
                              </a:solidFill>
                              <a:latin typeface="+mn-lt"/>
                              <a:ea typeface="+mn-ea"/>
                              <a:cs typeface="+mn-cs"/>
                            </a:defRPr>
                          </a:lvl9pPr>
                        </a:lstStyle>
                        <a:p>
                          <a:r>
                            <a:rPr lang="en-US" b="1" dirty="0" smtClean="0"/>
                            <a:t>M2</a:t>
                          </a:r>
                          <a:endParaRPr lang="ar-SA" dirty="0"/>
                        </a:p>
                      </a:txBody>
                      <a:useSpRect/>
                    </a:txSp>
                  </a:sp>
                  <a:sp>
                    <a:nvSpPr>
                      <a:cNvPr id="26" name="مستطيل 25"/>
                      <a:cNvSpPr/>
                    </a:nvSpPr>
                    <a:spPr>
                      <a:xfrm>
                        <a:off x="1853759" y="3286124"/>
                        <a:ext cx="503663" cy="369332"/>
                      </a:xfrm>
                      <a:prstGeom prst="rect">
                        <a:avLst/>
                      </a:prstGeom>
                    </a:spPr>
                    <a:txSp>
                      <a:txBody>
                        <a:bodyPr wrap="none">
                          <a:spAutoFit/>
                        </a:bodyPr>
                        <a:lstStyle>
                          <a:defPPr>
                            <a:defRPr lang="ar-SA"/>
                          </a:defPPr>
                          <a:lvl1pPr marL="0" algn="r" defTabSz="914400" rtl="1" eaLnBrk="1" latinLnBrk="0" hangingPunct="1">
                            <a:defRPr sz="1800" kern="1200">
                              <a:solidFill>
                                <a:schemeClr val="tx1"/>
                              </a:solidFill>
                              <a:latin typeface="+mn-lt"/>
                              <a:ea typeface="+mn-ea"/>
                              <a:cs typeface="+mn-cs"/>
                            </a:defRPr>
                          </a:lvl1pPr>
                          <a:lvl2pPr marL="457200" algn="r" defTabSz="914400" rtl="1" eaLnBrk="1" latinLnBrk="0" hangingPunct="1">
                            <a:defRPr sz="1800" kern="1200">
                              <a:solidFill>
                                <a:schemeClr val="tx1"/>
                              </a:solidFill>
                              <a:latin typeface="+mn-lt"/>
                              <a:ea typeface="+mn-ea"/>
                              <a:cs typeface="+mn-cs"/>
                            </a:defRPr>
                          </a:lvl2pPr>
                          <a:lvl3pPr marL="914400" algn="r" defTabSz="914400" rtl="1" eaLnBrk="1" latinLnBrk="0" hangingPunct="1">
                            <a:defRPr sz="1800" kern="1200">
                              <a:solidFill>
                                <a:schemeClr val="tx1"/>
                              </a:solidFill>
                              <a:latin typeface="+mn-lt"/>
                              <a:ea typeface="+mn-ea"/>
                              <a:cs typeface="+mn-cs"/>
                            </a:defRPr>
                          </a:lvl3pPr>
                          <a:lvl4pPr marL="1371600" algn="r" defTabSz="914400" rtl="1" eaLnBrk="1" latinLnBrk="0" hangingPunct="1">
                            <a:defRPr sz="1800" kern="1200">
                              <a:solidFill>
                                <a:schemeClr val="tx1"/>
                              </a:solidFill>
                              <a:latin typeface="+mn-lt"/>
                              <a:ea typeface="+mn-ea"/>
                              <a:cs typeface="+mn-cs"/>
                            </a:defRPr>
                          </a:lvl4pPr>
                          <a:lvl5pPr marL="1828800" algn="r" defTabSz="914400" rtl="1" eaLnBrk="1" latinLnBrk="0" hangingPunct="1">
                            <a:defRPr sz="1800" kern="1200">
                              <a:solidFill>
                                <a:schemeClr val="tx1"/>
                              </a:solidFill>
                              <a:latin typeface="+mn-lt"/>
                              <a:ea typeface="+mn-ea"/>
                              <a:cs typeface="+mn-cs"/>
                            </a:defRPr>
                          </a:lvl5pPr>
                          <a:lvl6pPr marL="2286000" algn="r" defTabSz="914400" rtl="1" eaLnBrk="1" latinLnBrk="0" hangingPunct="1">
                            <a:defRPr sz="1800" kern="1200">
                              <a:solidFill>
                                <a:schemeClr val="tx1"/>
                              </a:solidFill>
                              <a:latin typeface="+mn-lt"/>
                              <a:ea typeface="+mn-ea"/>
                              <a:cs typeface="+mn-cs"/>
                            </a:defRPr>
                          </a:lvl6pPr>
                          <a:lvl7pPr marL="2743200" algn="r" defTabSz="914400" rtl="1" eaLnBrk="1" latinLnBrk="0" hangingPunct="1">
                            <a:defRPr sz="1800" kern="1200">
                              <a:solidFill>
                                <a:schemeClr val="tx1"/>
                              </a:solidFill>
                              <a:latin typeface="+mn-lt"/>
                              <a:ea typeface="+mn-ea"/>
                              <a:cs typeface="+mn-cs"/>
                            </a:defRPr>
                          </a:lvl7pPr>
                          <a:lvl8pPr marL="3200400" algn="r" defTabSz="914400" rtl="1" eaLnBrk="1" latinLnBrk="0" hangingPunct="1">
                            <a:defRPr sz="1800" kern="1200">
                              <a:solidFill>
                                <a:schemeClr val="tx1"/>
                              </a:solidFill>
                              <a:latin typeface="+mn-lt"/>
                              <a:ea typeface="+mn-ea"/>
                              <a:cs typeface="+mn-cs"/>
                            </a:defRPr>
                          </a:lvl8pPr>
                          <a:lvl9pPr marL="3657600" algn="r" defTabSz="914400" rtl="1" eaLnBrk="1" latinLnBrk="0" hangingPunct="1">
                            <a:defRPr sz="1800" kern="1200">
                              <a:solidFill>
                                <a:schemeClr val="tx1"/>
                              </a:solidFill>
                              <a:latin typeface="+mn-lt"/>
                              <a:ea typeface="+mn-ea"/>
                              <a:cs typeface="+mn-cs"/>
                            </a:defRPr>
                          </a:lvl9pPr>
                        </a:lstStyle>
                        <a:p>
                          <a:r>
                            <a:rPr lang="en-US" b="1" dirty="0" smtClean="0"/>
                            <a:t>M1</a:t>
                          </a:r>
                          <a:endParaRPr lang="ar-SA" dirty="0"/>
                        </a:p>
                      </a:txBody>
                      <a:useSpRect/>
                    </a:txSp>
                  </a:sp>
                  <a:sp>
                    <a:nvSpPr>
                      <a:cNvPr id="27" name="مستطيل 26"/>
                      <a:cNvSpPr/>
                    </a:nvSpPr>
                    <a:spPr>
                      <a:xfrm>
                        <a:off x="4143372" y="3273982"/>
                        <a:ext cx="1781834" cy="369332"/>
                      </a:xfrm>
                      <a:prstGeom prst="rect">
                        <a:avLst/>
                      </a:prstGeom>
                    </a:spPr>
                    <a:txSp>
                      <a:txBody>
                        <a:bodyPr wrap="none">
                          <a:spAutoFit/>
                        </a:bodyPr>
                        <a:lstStyle>
                          <a:defPPr>
                            <a:defRPr lang="ar-SA"/>
                          </a:defPPr>
                          <a:lvl1pPr marL="0" algn="r" defTabSz="914400" rtl="1" eaLnBrk="1" latinLnBrk="0" hangingPunct="1">
                            <a:defRPr sz="1800" kern="1200">
                              <a:solidFill>
                                <a:schemeClr val="tx1"/>
                              </a:solidFill>
                              <a:latin typeface="+mn-lt"/>
                              <a:ea typeface="+mn-ea"/>
                              <a:cs typeface="+mn-cs"/>
                            </a:defRPr>
                          </a:lvl1pPr>
                          <a:lvl2pPr marL="457200" algn="r" defTabSz="914400" rtl="1" eaLnBrk="1" latinLnBrk="0" hangingPunct="1">
                            <a:defRPr sz="1800" kern="1200">
                              <a:solidFill>
                                <a:schemeClr val="tx1"/>
                              </a:solidFill>
                              <a:latin typeface="+mn-lt"/>
                              <a:ea typeface="+mn-ea"/>
                              <a:cs typeface="+mn-cs"/>
                            </a:defRPr>
                          </a:lvl2pPr>
                          <a:lvl3pPr marL="914400" algn="r" defTabSz="914400" rtl="1" eaLnBrk="1" latinLnBrk="0" hangingPunct="1">
                            <a:defRPr sz="1800" kern="1200">
                              <a:solidFill>
                                <a:schemeClr val="tx1"/>
                              </a:solidFill>
                              <a:latin typeface="+mn-lt"/>
                              <a:ea typeface="+mn-ea"/>
                              <a:cs typeface="+mn-cs"/>
                            </a:defRPr>
                          </a:lvl3pPr>
                          <a:lvl4pPr marL="1371600" algn="r" defTabSz="914400" rtl="1" eaLnBrk="1" latinLnBrk="0" hangingPunct="1">
                            <a:defRPr sz="1800" kern="1200">
                              <a:solidFill>
                                <a:schemeClr val="tx1"/>
                              </a:solidFill>
                              <a:latin typeface="+mn-lt"/>
                              <a:ea typeface="+mn-ea"/>
                              <a:cs typeface="+mn-cs"/>
                            </a:defRPr>
                          </a:lvl4pPr>
                          <a:lvl5pPr marL="1828800" algn="r" defTabSz="914400" rtl="1" eaLnBrk="1" latinLnBrk="0" hangingPunct="1">
                            <a:defRPr sz="1800" kern="1200">
                              <a:solidFill>
                                <a:schemeClr val="tx1"/>
                              </a:solidFill>
                              <a:latin typeface="+mn-lt"/>
                              <a:ea typeface="+mn-ea"/>
                              <a:cs typeface="+mn-cs"/>
                            </a:defRPr>
                          </a:lvl5pPr>
                          <a:lvl6pPr marL="2286000" algn="r" defTabSz="914400" rtl="1" eaLnBrk="1" latinLnBrk="0" hangingPunct="1">
                            <a:defRPr sz="1800" kern="1200">
                              <a:solidFill>
                                <a:schemeClr val="tx1"/>
                              </a:solidFill>
                              <a:latin typeface="+mn-lt"/>
                              <a:ea typeface="+mn-ea"/>
                              <a:cs typeface="+mn-cs"/>
                            </a:defRPr>
                          </a:lvl6pPr>
                          <a:lvl7pPr marL="2743200" algn="r" defTabSz="914400" rtl="1" eaLnBrk="1" latinLnBrk="0" hangingPunct="1">
                            <a:defRPr sz="1800" kern="1200">
                              <a:solidFill>
                                <a:schemeClr val="tx1"/>
                              </a:solidFill>
                              <a:latin typeface="+mn-lt"/>
                              <a:ea typeface="+mn-ea"/>
                              <a:cs typeface="+mn-cs"/>
                            </a:defRPr>
                          </a:lvl7pPr>
                          <a:lvl8pPr marL="3200400" algn="r" defTabSz="914400" rtl="1" eaLnBrk="1" latinLnBrk="0" hangingPunct="1">
                            <a:defRPr sz="1800" kern="1200">
                              <a:solidFill>
                                <a:schemeClr val="tx1"/>
                              </a:solidFill>
                              <a:latin typeface="+mn-lt"/>
                              <a:ea typeface="+mn-ea"/>
                              <a:cs typeface="+mn-cs"/>
                            </a:defRPr>
                          </a:lvl8pPr>
                          <a:lvl9pPr marL="3657600" algn="r" defTabSz="914400" rtl="1" eaLnBrk="1" latinLnBrk="0" hangingPunct="1">
                            <a:defRPr sz="1800" kern="1200">
                              <a:solidFill>
                                <a:schemeClr val="tx1"/>
                              </a:solidFill>
                              <a:latin typeface="+mn-lt"/>
                              <a:ea typeface="+mn-ea"/>
                              <a:cs typeface="+mn-cs"/>
                            </a:defRPr>
                          </a:lvl9pPr>
                        </a:lstStyle>
                        <a:p>
                          <a:r>
                            <a:rPr lang="fr-FR" b="1" dirty="0" smtClean="0"/>
                            <a:t>Puits </a:t>
                          </a:r>
                          <a:r>
                            <a:rPr lang="fr-FR" b="1" dirty="0" smtClean="0"/>
                            <a:t>d’injection </a:t>
                          </a:r>
                          <a:endParaRPr lang="ar-SA" dirty="0"/>
                        </a:p>
                      </a:txBody>
                      <a:useSpRect/>
                    </a:txSp>
                  </a:sp>
                  <a:sp>
                    <a:nvSpPr>
                      <a:cNvPr id="28" name="مستطيل 27"/>
                      <a:cNvSpPr/>
                    </a:nvSpPr>
                    <a:spPr>
                      <a:xfrm>
                        <a:off x="3428992" y="5417122"/>
                        <a:ext cx="1439818" cy="369332"/>
                      </a:xfrm>
                      <a:prstGeom prst="rect">
                        <a:avLst/>
                      </a:prstGeom>
                    </a:spPr>
                    <a:txSp>
                      <a:txBody>
                        <a:bodyPr wrap="none">
                          <a:spAutoFit/>
                        </a:bodyPr>
                        <a:lstStyle>
                          <a:defPPr>
                            <a:defRPr lang="ar-SA"/>
                          </a:defPPr>
                          <a:lvl1pPr marL="0" algn="r" defTabSz="914400" rtl="1" eaLnBrk="1" latinLnBrk="0" hangingPunct="1">
                            <a:defRPr sz="1800" kern="1200">
                              <a:solidFill>
                                <a:schemeClr val="tx1"/>
                              </a:solidFill>
                              <a:latin typeface="+mn-lt"/>
                              <a:ea typeface="+mn-ea"/>
                              <a:cs typeface="+mn-cs"/>
                            </a:defRPr>
                          </a:lvl1pPr>
                          <a:lvl2pPr marL="457200" algn="r" defTabSz="914400" rtl="1" eaLnBrk="1" latinLnBrk="0" hangingPunct="1">
                            <a:defRPr sz="1800" kern="1200">
                              <a:solidFill>
                                <a:schemeClr val="tx1"/>
                              </a:solidFill>
                              <a:latin typeface="+mn-lt"/>
                              <a:ea typeface="+mn-ea"/>
                              <a:cs typeface="+mn-cs"/>
                            </a:defRPr>
                          </a:lvl2pPr>
                          <a:lvl3pPr marL="914400" algn="r" defTabSz="914400" rtl="1" eaLnBrk="1" latinLnBrk="0" hangingPunct="1">
                            <a:defRPr sz="1800" kern="1200">
                              <a:solidFill>
                                <a:schemeClr val="tx1"/>
                              </a:solidFill>
                              <a:latin typeface="+mn-lt"/>
                              <a:ea typeface="+mn-ea"/>
                              <a:cs typeface="+mn-cs"/>
                            </a:defRPr>
                          </a:lvl3pPr>
                          <a:lvl4pPr marL="1371600" algn="r" defTabSz="914400" rtl="1" eaLnBrk="1" latinLnBrk="0" hangingPunct="1">
                            <a:defRPr sz="1800" kern="1200">
                              <a:solidFill>
                                <a:schemeClr val="tx1"/>
                              </a:solidFill>
                              <a:latin typeface="+mn-lt"/>
                              <a:ea typeface="+mn-ea"/>
                              <a:cs typeface="+mn-cs"/>
                            </a:defRPr>
                          </a:lvl4pPr>
                          <a:lvl5pPr marL="1828800" algn="r" defTabSz="914400" rtl="1" eaLnBrk="1" latinLnBrk="0" hangingPunct="1">
                            <a:defRPr sz="1800" kern="1200">
                              <a:solidFill>
                                <a:schemeClr val="tx1"/>
                              </a:solidFill>
                              <a:latin typeface="+mn-lt"/>
                              <a:ea typeface="+mn-ea"/>
                              <a:cs typeface="+mn-cs"/>
                            </a:defRPr>
                          </a:lvl5pPr>
                          <a:lvl6pPr marL="2286000" algn="r" defTabSz="914400" rtl="1" eaLnBrk="1" latinLnBrk="0" hangingPunct="1">
                            <a:defRPr sz="1800" kern="1200">
                              <a:solidFill>
                                <a:schemeClr val="tx1"/>
                              </a:solidFill>
                              <a:latin typeface="+mn-lt"/>
                              <a:ea typeface="+mn-ea"/>
                              <a:cs typeface="+mn-cs"/>
                            </a:defRPr>
                          </a:lvl6pPr>
                          <a:lvl7pPr marL="2743200" algn="r" defTabSz="914400" rtl="1" eaLnBrk="1" latinLnBrk="0" hangingPunct="1">
                            <a:defRPr sz="1800" kern="1200">
                              <a:solidFill>
                                <a:schemeClr val="tx1"/>
                              </a:solidFill>
                              <a:latin typeface="+mn-lt"/>
                              <a:ea typeface="+mn-ea"/>
                              <a:cs typeface="+mn-cs"/>
                            </a:defRPr>
                          </a:lvl7pPr>
                          <a:lvl8pPr marL="3200400" algn="r" defTabSz="914400" rtl="1" eaLnBrk="1" latinLnBrk="0" hangingPunct="1">
                            <a:defRPr sz="1800" kern="1200">
                              <a:solidFill>
                                <a:schemeClr val="tx1"/>
                              </a:solidFill>
                              <a:latin typeface="+mn-lt"/>
                              <a:ea typeface="+mn-ea"/>
                              <a:cs typeface="+mn-cs"/>
                            </a:defRPr>
                          </a:lvl8pPr>
                          <a:lvl9pPr marL="3657600" algn="r" defTabSz="914400" rtl="1" eaLnBrk="1" latinLnBrk="0" hangingPunct="1">
                            <a:defRPr sz="1800" kern="1200">
                              <a:solidFill>
                                <a:schemeClr val="tx1"/>
                              </a:solidFill>
                              <a:latin typeface="+mn-lt"/>
                              <a:ea typeface="+mn-ea"/>
                              <a:cs typeface="+mn-cs"/>
                            </a:defRPr>
                          </a:lvl9pPr>
                        </a:lstStyle>
                        <a:p>
                          <a:pPr algn="l"/>
                          <a:r>
                            <a:rPr lang="fr-FR" dirty="0" smtClean="0"/>
                            <a:t>imperméable</a:t>
                          </a:r>
                          <a:endParaRPr lang="ar-SA" dirty="0"/>
                        </a:p>
                      </a:txBody>
                      <a:useSpRect/>
                    </a:txSp>
                  </a:sp>
                  <a:sp>
                    <a:nvSpPr>
                      <a:cNvPr id="29" name="مستطيل 28"/>
                      <a:cNvSpPr/>
                    </a:nvSpPr>
                    <a:spPr>
                      <a:xfrm>
                        <a:off x="3417934" y="928670"/>
                        <a:ext cx="1439818" cy="369332"/>
                      </a:xfrm>
                      <a:prstGeom prst="rect">
                        <a:avLst/>
                      </a:prstGeom>
                    </a:spPr>
                    <a:txSp>
                      <a:txBody>
                        <a:bodyPr wrap="none">
                          <a:spAutoFit/>
                        </a:bodyPr>
                        <a:lstStyle>
                          <a:defPPr>
                            <a:defRPr lang="ar-SA"/>
                          </a:defPPr>
                          <a:lvl1pPr marL="0" algn="r" defTabSz="914400" rtl="1" eaLnBrk="1" latinLnBrk="0" hangingPunct="1">
                            <a:defRPr sz="1800" kern="1200">
                              <a:solidFill>
                                <a:schemeClr val="tx1"/>
                              </a:solidFill>
                              <a:latin typeface="+mn-lt"/>
                              <a:ea typeface="+mn-ea"/>
                              <a:cs typeface="+mn-cs"/>
                            </a:defRPr>
                          </a:lvl1pPr>
                          <a:lvl2pPr marL="457200" algn="r" defTabSz="914400" rtl="1" eaLnBrk="1" latinLnBrk="0" hangingPunct="1">
                            <a:defRPr sz="1800" kern="1200">
                              <a:solidFill>
                                <a:schemeClr val="tx1"/>
                              </a:solidFill>
                              <a:latin typeface="+mn-lt"/>
                              <a:ea typeface="+mn-ea"/>
                              <a:cs typeface="+mn-cs"/>
                            </a:defRPr>
                          </a:lvl2pPr>
                          <a:lvl3pPr marL="914400" algn="r" defTabSz="914400" rtl="1" eaLnBrk="1" latinLnBrk="0" hangingPunct="1">
                            <a:defRPr sz="1800" kern="1200">
                              <a:solidFill>
                                <a:schemeClr val="tx1"/>
                              </a:solidFill>
                              <a:latin typeface="+mn-lt"/>
                              <a:ea typeface="+mn-ea"/>
                              <a:cs typeface="+mn-cs"/>
                            </a:defRPr>
                          </a:lvl3pPr>
                          <a:lvl4pPr marL="1371600" algn="r" defTabSz="914400" rtl="1" eaLnBrk="1" latinLnBrk="0" hangingPunct="1">
                            <a:defRPr sz="1800" kern="1200">
                              <a:solidFill>
                                <a:schemeClr val="tx1"/>
                              </a:solidFill>
                              <a:latin typeface="+mn-lt"/>
                              <a:ea typeface="+mn-ea"/>
                              <a:cs typeface="+mn-cs"/>
                            </a:defRPr>
                          </a:lvl4pPr>
                          <a:lvl5pPr marL="1828800" algn="r" defTabSz="914400" rtl="1" eaLnBrk="1" latinLnBrk="0" hangingPunct="1">
                            <a:defRPr sz="1800" kern="1200">
                              <a:solidFill>
                                <a:schemeClr val="tx1"/>
                              </a:solidFill>
                              <a:latin typeface="+mn-lt"/>
                              <a:ea typeface="+mn-ea"/>
                              <a:cs typeface="+mn-cs"/>
                            </a:defRPr>
                          </a:lvl5pPr>
                          <a:lvl6pPr marL="2286000" algn="r" defTabSz="914400" rtl="1" eaLnBrk="1" latinLnBrk="0" hangingPunct="1">
                            <a:defRPr sz="1800" kern="1200">
                              <a:solidFill>
                                <a:schemeClr val="tx1"/>
                              </a:solidFill>
                              <a:latin typeface="+mn-lt"/>
                              <a:ea typeface="+mn-ea"/>
                              <a:cs typeface="+mn-cs"/>
                            </a:defRPr>
                          </a:lvl6pPr>
                          <a:lvl7pPr marL="2743200" algn="r" defTabSz="914400" rtl="1" eaLnBrk="1" latinLnBrk="0" hangingPunct="1">
                            <a:defRPr sz="1800" kern="1200">
                              <a:solidFill>
                                <a:schemeClr val="tx1"/>
                              </a:solidFill>
                              <a:latin typeface="+mn-lt"/>
                              <a:ea typeface="+mn-ea"/>
                              <a:cs typeface="+mn-cs"/>
                            </a:defRPr>
                          </a:lvl7pPr>
                          <a:lvl8pPr marL="3200400" algn="r" defTabSz="914400" rtl="1" eaLnBrk="1" latinLnBrk="0" hangingPunct="1">
                            <a:defRPr sz="1800" kern="1200">
                              <a:solidFill>
                                <a:schemeClr val="tx1"/>
                              </a:solidFill>
                              <a:latin typeface="+mn-lt"/>
                              <a:ea typeface="+mn-ea"/>
                              <a:cs typeface="+mn-cs"/>
                            </a:defRPr>
                          </a:lvl8pPr>
                          <a:lvl9pPr marL="3657600" algn="r" defTabSz="914400" rtl="1" eaLnBrk="1" latinLnBrk="0" hangingPunct="1">
                            <a:defRPr sz="1800" kern="1200">
                              <a:solidFill>
                                <a:schemeClr val="tx1"/>
                              </a:solidFill>
                              <a:latin typeface="+mn-lt"/>
                              <a:ea typeface="+mn-ea"/>
                              <a:cs typeface="+mn-cs"/>
                            </a:defRPr>
                          </a:lvl9pPr>
                        </a:lstStyle>
                        <a:p>
                          <a:pPr algn="l"/>
                          <a:r>
                            <a:rPr lang="fr-FR" dirty="0" smtClean="0"/>
                            <a:t>imperméable</a:t>
                          </a:r>
                          <a:endParaRPr lang="ar-SA" dirty="0"/>
                        </a:p>
                      </a:txBody>
                      <a:useSpRect/>
                    </a:txSp>
                  </a:sp>
                  <a:sp>
                    <a:nvSpPr>
                      <a:cNvPr id="30" name="مستطيل 29"/>
                      <a:cNvSpPr/>
                    </a:nvSpPr>
                    <a:spPr>
                      <a:xfrm rot="5400000">
                        <a:off x="6239193" y="3244334"/>
                        <a:ext cx="1439818" cy="369332"/>
                      </a:xfrm>
                      <a:prstGeom prst="rect">
                        <a:avLst/>
                      </a:prstGeom>
                    </a:spPr>
                    <a:txSp>
                      <a:txBody>
                        <a:bodyPr wrap="none">
                          <a:spAutoFit/>
                        </a:bodyPr>
                        <a:lstStyle>
                          <a:defPPr>
                            <a:defRPr lang="ar-SA"/>
                          </a:defPPr>
                          <a:lvl1pPr marL="0" algn="r" defTabSz="914400" rtl="1" eaLnBrk="1" latinLnBrk="0" hangingPunct="1">
                            <a:defRPr sz="1800" kern="1200">
                              <a:solidFill>
                                <a:schemeClr val="tx1"/>
                              </a:solidFill>
                              <a:latin typeface="+mn-lt"/>
                              <a:ea typeface="+mn-ea"/>
                              <a:cs typeface="+mn-cs"/>
                            </a:defRPr>
                          </a:lvl1pPr>
                          <a:lvl2pPr marL="457200" algn="r" defTabSz="914400" rtl="1" eaLnBrk="1" latinLnBrk="0" hangingPunct="1">
                            <a:defRPr sz="1800" kern="1200">
                              <a:solidFill>
                                <a:schemeClr val="tx1"/>
                              </a:solidFill>
                              <a:latin typeface="+mn-lt"/>
                              <a:ea typeface="+mn-ea"/>
                              <a:cs typeface="+mn-cs"/>
                            </a:defRPr>
                          </a:lvl2pPr>
                          <a:lvl3pPr marL="914400" algn="r" defTabSz="914400" rtl="1" eaLnBrk="1" latinLnBrk="0" hangingPunct="1">
                            <a:defRPr sz="1800" kern="1200">
                              <a:solidFill>
                                <a:schemeClr val="tx1"/>
                              </a:solidFill>
                              <a:latin typeface="+mn-lt"/>
                              <a:ea typeface="+mn-ea"/>
                              <a:cs typeface="+mn-cs"/>
                            </a:defRPr>
                          </a:lvl3pPr>
                          <a:lvl4pPr marL="1371600" algn="r" defTabSz="914400" rtl="1" eaLnBrk="1" latinLnBrk="0" hangingPunct="1">
                            <a:defRPr sz="1800" kern="1200">
                              <a:solidFill>
                                <a:schemeClr val="tx1"/>
                              </a:solidFill>
                              <a:latin typeface="+mn-lt"/>
                              <a:ea typeface="+mn-ea"/>
                              <a:cs typeface="+mn-cs"/>
                            </a:defRPr>
                          </a:lvl4pPr>
                          <a:lvl5pPr marL="1828800" algn="r" defTabSz="914400" rtl="1" eaLnBrk="1" latinLnBrk="0" hangingPunct="1">
                            <a:defRPr sz="1800" kern="1200">
                              <a:solidFill>
                                <a:schemeClr val="tx1"/>
                              </a:solidFill>
                              <a:latin typeface="+mn-lt"/>
                              <a:ea typeface="+mn-ea"/>
                              <a:cs typeface="+mn-cs"/>
                            </a:defRPr>
                          </a:lvl5pPr>
                          <a:lvl6pPr marL="2286000" algn="r" defTabSz="914400" rtl="1" eaLnBrk="1" latinLnBrk="0" hangingPunct="1">
                            <a:defRPr sz="1800" kern="1200">
                              <a:solidFill>
                                <a:schemeClr val="tx1"/>
                              </a:solidFill>
                              <a:latin typeface="+mn-lt"/>
                              <a:ea typeface="+mn-ea"/>
                              <a:cs typeface="+mn-cs"/>
                            </a:defRPr>
                          </a:lvl6pPr>
                          <a:lvl7pPr marL="2743200" algn="r" defTabSz="914400" rtl="1" eaLnBrk="1" latinLnBrk="0" hangingPunct="1">
                            <a:defRPr sz="1800" kern="1200">
                              <a:solidFill>
                                <a:schemeClr val="tx1"/>
                              </a:solidFill>
                              <a:latin typeface="+mn-lt"/>
                              <a:ea typeface="+mn-ea"/>
                              <a:cs typeface="+mn-cs"/>
                            </a:defRPr>
                          </a:lvl7pPr>
                          <a:lvl8pPr marL="3200400" algn="r" defTabSz="914400" rtl="1" eaLnBrk="1" latinLnBrk="0" hangingPunct="1">
                            <a:defRPr sz="1800" kern="1200">
                              <a:solidFill>
                                <a:schemeClr val="tx1"/>
                              </a:solidFill>
                              <a:latin typeface="+mn-lt"/>
                              <a:ea typeface="+mn-ea"/>
                              <a:cs typeface="+mn-cs"/>
                            </a:defRPr>
                          </a:lvl8pPr>
                          <a:lvl9pPr marL="3657600" algn="r" defTabSz="914400" rtl="1" eaLnBrk="1" latinLnBrk="0" hangingPunct="1">
                            <a:defRPr sz="1800" kern="1200">
                              <a:solidFill>
                                <a:schemeClr val="tx1"/>
                              </a:solidFill>
                              <a:latin typeface="+mn-lt"/>
                              <a:ea typeface="+mn-ea"/>
                              <a:cs typeface="+mn-cs"/>
                            </a:defRPr>
                          </a:lvl9pPr>
                        </a:lstStyle>
                        <a:p>
                          <a:pPr algn="l"/>
                          <a:r>
                            <a:rPr lang="fr-FR" dirty="0" smtClean="0"/>
                            <a:t>imperméable</a:t>
                          </a:r>
                          <a:endParaRPr lang="ar-SA" dirty="0"/>
                        </a:p>
                      </a:txBody>
                      <a:useSpRect/>
                    </a:txSp>
                  </a:sp>
                  <a:sp>
                    <a:nvSpPr>
                      <a:cNvPr id="31" name="مستطيل 30"/>
                      <a:cNvSpPr/>
                    </a:nvSpPr>
                    <a:spPr>
                      <a:xfrm rot="16200000">
                        <a:off x="679171" y="3244334"/>
                        <a:ext cx="1439818" cy="369332"/>
                      </a:xfrm>
                      <a:prstGeom prst="rect">
                        <a:avLst/>
                      </a:prstGeom>
                    </a:spPr>
                    <a:txSp>
                      <a:txBody>
                        <a:bodyPr wrap="none">
                          <a:spAutoFit/>
                        </a:bodyPr>
                        <a:lstStyle>
                          <a:defPPr>
                            <a:defRPr lang="ar-SA"/>
                          </a:defPPr>
                          <a:lvl1pPr marL="0" algn="r" defTabSz="914400" rtl="1" eaLnBrk="1" latinLnBrk="0" hangingPunct="1">
                            <a:defRPr sz="1800" kern="1200">
                              <a:solidFill>
                                <a:schemeClr val="tx1"/>
                              </a:solidFill>
                              <a:latin typeface="+mn-lt"/>
                              <a:ea typeface="+mn-ea"/>
                              <a:cs typeface="+mn-cs"/>
                            </a:defRPr>
                          </a:lvl1pPr>
                          <a:lvl2pPr marL="457200" algn="r" defTabSz="914400" rtl="1" eaLnBrk="1" latinLnBrk="0" hangingPunct="1">
                            <a:defRPr sz="1800" kern="1200">
                              <a:solidFill>
                                <a:schemeClr val="tx1"/>
                              </a:solidFill>
                              <a:latin typeface="+mn-lt"/>
                              <a:ea typeface="+mn-ea"/>
                              <a:cs typeface="+mn-cs"/>
                            </a:defRPr>
                          </a:lvl2pPr>
                          <a:lvl3pPr marL="914400" algn="r" defTabSz="914400" rtl="1" eaLnBrk="1" latinLnBrk="0" hangingPunct="1">
                            <a:defRPr sz="1800" kern="1200">
                              <a:solidFill>
                                <a:schemeClr val="tx1"/>
                              </a:solidFill>
                              <a:latin typeface="+mn-lt"/>
                              <a:ea typeface="+mn-ea"/>
                              <a:cs typeface="+mn-cs"/>
                            </a:defRPr>
                          </a:lvl3pPr>
                          <a:lvl4pPr marL="1371600" algn="r" defTabSz="914400" rtl="1" eaLnBrk="1" latinLnBrk="0" hangingPunct="1">
                            <a:defRPr sz="1800" kern="1200">
                              <a:solidFill>
                                <a:schemeClr val="tx1"/>
                              </a:solidFill>
                              <a:latin typeface="+mn-lt"/>
                              <a:ea typeface="+mn-ea"/>
                              <a:cs typeface="+mn-cs"/>
                            </a:defRPr>
                          </a:lvl4pPr>
                          <a:lvl5pPr marL="1828800" algn="r" defTabSz="914400" rtl="1" eaLnBrk="1" latinLnBrk="0" hangingPunct="1">
                            <a:defRPr sz="1800" kern="1200">
                              <a:solidFill>
                                <a:schemeClr val="tx1"/>
                              </a:solidFill>
                              <a:latin typeface="+mn-lt"/>
                              <a:ea typeface="+mn-ea"/>
                              <a:cs typeface="+mn-cs"/>
                            </a:defRPr>
                          </a:lvl5pPr>
                          <a:lvl6pPr marL="2286000" algn="r" defTabSz="914400" rtl="1" eaLnBrk="1" latinLnBrk="0" hangingPunct="1">
                            <a:defRPr sz="1800" kern="1200">
                              <a:solidFill>
                                <a:schemeClr val="tx1"/>
                              </a:solidFill>
                              <a:latin typeface="+mn-lt"/>
                              <a:ea typeface="+mn-ea"/>
                              <a:cs typeface="+mn-cs"/>
                            </a:defRPr>
                          </a:lvl6pPr>
                          <a:lvl7pPr marL="2743200" algn="r" defTabSz="914400" rtl="1" eaLnBrk="1" latinLnBrk="0" hangingPunct="1">
                            <a:defRPr sz="1800" kern="1200">
                              <a:solidFill>
                                <a:schemeClr val="tx1"/>
                              </a:solidFill>
                              <a:latin typeface="+mn-lt"/>
                              <a:ea typeface="+mn-ea"/>
                              <a:cs typeface="+mn-cs"/>
                            </a:defRPr>
                          </a:lvl7pPr>
                          <a:lvl8pPr marL="3200400" algn="r" defTabSz="914400" rtl="1" eaLnBrk="1" latinLnBrk="0" hangingPunct="1">
                            <a:defRPr sz="1800" kern="1200">
                              <a:solidFill>
                                <a:schemeClr val="tx1"/>
                              </a:solidFill>
                              <a:latin typeface="+mn-lt"/>
                              <a:ea typeface="+mn-ea"/>
                              <a:cs typeface="+mn-cs"/>
                            </a:defRPr>
                          </a:lvl8pPr>
                          <a:lvl9pPr marL="3657600" algn="r" defTabSz="914400" rtl="1" eaLnBrk="1" latinLnBrk="0" hangingPunct="1">
                            <a:defRPr sz="1800" kern="1200">
                              <a:solidFill>
                                <a:schemeClr val="tx1"/>
                              </a:solidFill>
                              <a:latin typeface="+mn-lt"/>
                              <a:ea typeface="+mn-ea"/>
                              <a:cs typeface="+mn-cs"/>
                            </a:defRPr>
                          </a:lvl9pPr>
                        </a:lstStyle>
                        <a:p>
                          <a:pPr algn="l"/>
                          <a:r>
                            <a:rPr lang="fr-FR" dirty="0" smtClean="0"/>
                            <a:t>imperméable</a:t>
                          </a:r>
                          <a:endParaRPr lang="ar-SA" dirty="0"/>
                        </a:p>
                      </a:txBody>
                      <a:useSpRect/>
                    </a:txSp>
                  </a:sp>
                </lc:lockedCanvas>
              </a:graphicData>
            </a:graphic>
          </wp:inline>
        </w:drawing>
      </w:r>
    </w:p>
    <w:p w:rsidR="00C22E1F" w:rsidRPr="00C22E1F" w:rsidRDefault="00E21832" w:rsidP="00C22E1F">
      <w:pPr>
        <w:pStyle w:val="Paragraphedeliste"/>
        <w:spacing w:line="240" w:lineRule="auto"/>
        <w:ind w:left="405"/>
        <w:jc w:val="center"/>
        <w:rPr>
          <w:rFonts w:asciiTheme="majorBidi" w:hAnsiTheme="majorBidi" w:cstheme="majorBidi"/>
          <w:sz w:val="24"/>
          <w:szCs w:val="24"/>
        </w:rPr>
      </w:pPr>
      <w:r w:rsidRPr="00C55D3E">
        <w:rPr>
          <w:rFonts w:asciiTheme="majorBidi" w:hAnsiTheme="majorBidi" w:cstheme="majorBidi"/>
          <w:b/>
          <w:bCs/>
        </w:rPr>
        <w:t>Figure</w:t>
      </w:r>
      <w:r w:rsidRPr="00C55D3E">
        <w:rPr>
          <w:rFonts w:ascii="Times New Roman" w:hAnsi="Times New Roman" w:cs="Times New Roman"/>
          <w:b/>
          <w:bCs/>
        </w:rPr>
        <w:t xml:space="preserve"> V</w:t>
      </w:r>
      <w:r w:rsidRPr="00C55D3E">
        <w:rPr>
          <w:rFonts w:asciiTheme="majorBidi" w:hAnsiTheme="majorBidi" w:cstheme="majorBidi"/>
          <w:b/>
          <w:bCs/>
        </w:rPr>
        <w:t xml:space="preserve"> </w:t>
      </w:r>
      <w:r w:rsidR="00CF793A">
        <w:rPr>
          <w:rFonts w:asciiTheme="majorBidi" w:hAnsiTheme="majorBidi" w:cstheme="majorBidi"/>
          <w:b/>
          <w:bCs/>
        </w:rPr>
        <w:t>.16</w:t>
      </w:r>
      <w:r w:rsidRPr="00C55D3E">
        <w:rPr>
          <w:rFonts w:asciiTheme="majorBidi" w:hAnsiTheme="majorBidi" w:cstheme="majorBidi"/>
          <w:b/>
          <w:bCs/>
        </w:rPr>
        <w:t>:</w:t>
      </w:r>
      <w:r w:rsidR="00B37BA6" w:rsidRPr="00B37BA6">
        <w:rPr>
          <w:rFonts w:asciiTheme="majorBidi" w:hAnsiTheme="majorBidi" w:cstheme="majorBidi"/>
        </w:rPr>
        <w:t xml:space="preserve"> </w:t>
      </w:r>
      <w:r w:rsidR="00B37BA6" w:rsidRPr="00323C0F">
        <w:rPr>
          <w:rFonts w:asciiTheme="majorBidi" w:hAnsiTheme="majorBidi" w:cstheme="majorBidi"/>
        </w:rPr>
        <w:t>géométrie de Domaine</w:t>
      </w:r>
      <w:r w:rsidR="00B37BA6">
        <w:rPr>
          <w:rFonts w:asciiTheme="majorBidi" w:hAnsiTheme="majorBidi" w:cstheme="majorBidi"/>
          <w:b/>
          <w:bCs/>
        </w:rPr>
        <w:t xml:space="preserve"> </w:t>
      </w:r>
      <w:r w:rsidR="00B37BA6">
        <w:rPr>
          <w:rFonts w:asciiTheme="majorBidi" w:hAnsiTheme="majorBidi" w:cstheme="majorBidi"/>
        </w:rPr>
        <w:t>(</w:t>
      </w:r>
      <w:r w:rsidR="00B9110D" w:rsidRPr="00B9110D">
        <w:rPr>
          <w:rFonts w:asciiTheme="majorBidi" w:hAnsiTheme="majorBidi" w:cstheme="majorBidi"/>
        </w:rPr>
        <w:t>Forage d’injection</w:t>
      </w:r>
      <w:r w:rsidR="00B37BA6">
        <w:rPr>
          <w:rFonts w:asciiTheme="majorBidi" w:hAnsiTheme="majorBidi" w:cstheme="majorBidi"/>
        </w:rPr>
        <w:t>)</w:t>
      </w:r>
      <w:r w:rsidR="008A2583" w:rsidRPr="00D7106B">
        <w:rPr>
          <w:rFonts w:asciiTheme="majorBidi" w:hAnsiTheme="majorBidi" w:cstheme="majorBidi"/>
          <w:sz w:val="24"/>
          <w:szCs w:val="24"/>
        </w:rPr>
        <w:t>.</w:t>
      </w:r>
      <w:r w:rsidR="00C22E1F">
        <w:rPr>
          <w:rFonts w:ascii="Times New Roman" w:hAnsi="Times New Roman" w:cs="Times New Roman"/>
          <w:sz w:val="24"/>
          <w:szCs w:val="24"/>
        </w:rPr>
        <w:t xml:space="preserve">    </w:t>
      </w:r>
      <w:r w:rsidR="00C22E1F" w:rsidRPr="00565660">
        <w:rPr>
          <w:rFonts w:ascii="Times New Roman" w:hAnsi="Times New Roman" w:cs="Times New Roman"/>
          <w:sz w:val="24"/>
          <w:szCs w:val="24"/>
        </w:rPr>
        <w:t xml:space="preserve">  </w:t>
      </w:r>
      <w:r w:rsidR="00C22E1F">
        <w:rPr>
          <w:rFonts w:ascii="Times New Roman" w:hAnsi="Times New Roman" w:cs="Times New Roman"/>
          <w:sz w:val="24"/>
          <w:szCs w:val="24"/>
          <w:highlight w:val="yellow"/>
        </w:rPr>
        <w:t xml:space="preserve">                                </w:t>
      </w:r>
    </w:p>
    <w:p w:rsidR="00C22E1F" w:rsidRPr="00312F77" w:rsidRDefault="00C22E1F" w:rsidP="00C22E1F">
      <w:pPr>
        <w:autoSpaceDE w:val="0"/>
        <w:autoSpaceDN w:val="0"/>
        <w:adjustRightInd w:val="0"/>
        <w:spacing w:after="0" w:line="360" w:lineRule="auto"/>
        <w:rPr>
          <w:rFonts w:ascii="Times New Roman" w:hAnsi="Times New Roman" w:cs="Times New Roman"/>
          <w:szCs w:val="24"/>
        </w:rPr>
      </w:pPr>
      <w:r w:rsidRPr="00312F77">
        <w:rPr>
          <w:rFonts w:ascii="Times New Roman" w:hAnsi="Times New Roman" w:cs="Times New Roman"/>
          <w:szCs w:val="24"/>
        </w:rPr>
        <w:t xml:space="preserve">Les figures </w:t>
      </w:r>
      <w:r w:rsidRPr="00312F77">
        <w:rPr>
          <w:rFonts w:asciiTheme="majorBidi" w:hAnsiTheme="majorBidi" w:cstheme="majorBidi"/>
          <w:szCs w:val="24"/>
        </w:rPr>
        <w:t xml:space="preserve">(Figure V .17)et (Figure </w:t>
      </w:r>
      <w:r w:rsidRPr="00312F77">
        <w:rPr>
          <w:rFonts w:ascii="Times New Roman" w:hAnsi="Times New Roman" w:cs="Times New Roman"/>
          <w:szCs w:val="24"/>
        </w:rPr>
        <w:t>V</w:t>
      </w:r>
      <w:r w:rsidRPr="00312F77">
        <w:rPr>
          <w:rFonts w:asciiTheme="majorBidi" w:hAnsiTheme="majorBidi" w:cstheme="majorBidi"/>
          <w:szCs w:val="24"/>
        </w:rPr>
        <w:t>.18)</w:t>
      </w:r>
      <w:r w:rsidRPr="00312F77">
        <w:rPr>
          <w:rFonts w:asciiTheme="majorBidi" w:hAnsiTheme="majorBidi" w:cstheme="majorBidi"/>
          <w:b/>
          <w:bCs/>
          <w:szCs w:val="24"/>
        </w:rPr>
        <w:t xml:space="preserve"> </w:t>
      </w:r>
      <w:r w:rsidRPr="00312F77">
        <w:rPr>
          <w:rFonts w:ascii="Times New Roman" w:hAnsi="Times New Roman" w:cs="Times New Roman"/>
          <w:szCs w:val="24"/>
        </w:rPr>
        <w:t>montrent, respectivement, r</w:t>
      </w:r>
      <w:r w:rsidRPr="00312F77">
        <w:rPr>
          <w:rFonts w:ascii="Times New Roman" w:hAnsi="Times New Roman" w:cs="Times New Roman"/>
          <w:color w:val="000000"/>
          <w:w w:val="107"/>
          <w:szCs w:val="24"/>
        </w:rPr>
        <w:t xml:space="preserve">elèvement du niveau </w:t>
      </w:r>
      <w:r w:rsidRPr="00312F77">
        <w:rPr>
          <w:rFonts w:ascii="Times New Roman" w:hAnsi="Times New Roman" w:cs="Times New Roman"/>
          <w:szCs w:val="24"/>
        </w:rPr>
        <w:t xml:space="preserve">d’eau dans la nappe et les isobahauteurres.aprés une durée de simulation de trois jours. L’évolution temporelle de la hauteur  de la nappe aux niveaux des sondes est représentée sur la figure (V.19).  </w:t>
      </w:r>
    </w:p>
    <w:p w:rsidR="00085E97" w:rsidRPr="00E97C8D" w:rsidRDefault="00E97C8D" w:rsidP="00E97C8D">
      <w:pPr>
        <w:spacing w:before="240" w:after="0"/>
        <w:jc w:val="center"/>
        <w:rPr>
          <w:rFonts w:asciiTheme="majorBidi" w:hAnsiTheme="majorBidi" w:cstheme="majorBidi"/>
          <w:b/>
          <w:bCs/>
          <w:noProof/>
          <w:sz w:val="24"/>
          <w:szCs w:val="24"/>
          <w:lang w:eastAsia="fr-FR"/>
        </w:rPr>
      </w:pPr>
      <w:r>
        <w:rPr>
          <w:rFonts w:asciiTheme="majorBidi" w:hAnsiTheme="majorBidi" w:cstheme="majorBidi"/>
          <w:b/>
          <w:bCs/>
          <w:noProof/>
          <w:sz w:val="24"/>
          <w:szCs w:val="24"/>
          <w:lang w:eastAsia="fr-FR"/>
        </w:rPr>
        <w:drawing>
          <wp:inline distT="0" distB="0" distL="0" distR="0">
            <wp:extent cx="4788000" cy="2961747"/>
            <wp:effectExtent l="19050" t="0" r="0" b="0"/>
            <wp:docPr id="6"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srcRect/>
                    <a:stretch>
                      <a:fillRect/>
                    </a:stretch>
                  </pic:blipFill>
                  <pic:spPr bwMode="auto">
                    <a:xfrm>
                      <a:off x="0" y="0"/>
                      <a:ext cx="4788000" cy="2961747"/>
                    </a:xfrm>
                    <a:prstGeom prst="rect">
                      <a:avLst/>
                    </a:prstGeom>
                    <a:noFill/>
                    <a:ln w="9525">
                      <a:noFill/>
                      <a:miter lim="800000"/>
                      <a:headEnd/>
                      <a:tailEnd/>
                    </a:ln>
                  </pic:spPr>
                </pic:pic>
              </a:graphicData>
            </a:graphic>
          </wp:inline>
        </w:drawing>
      </w:r>
    </w:p>
    <w:p w:rsidR="00D7106B" w:rsidRPr="008A2583" w:rsidRDefault="00E21832" w:rsidP="00623177">
      <w:pPr>
        <w:jc w:val="center"/>
        <w:rPr>
          <w:rFonts w:asciiTheme="majorBidi" w:hAnsiTheme="majorBidi" w:cstheme="majorBidi"/>
        </w:rPr>
      </w:pPr>
      <w:r w:rsidRPr="00C55D3E">
        <w:rPr>
          <w:rFonts w:asciiTheme="majorBidi" w:hAnsiTheme="majorBidi" w:cstheme="majorBidi"/>
          <w:b/>
          <w:bCs/>
        </w:rPr>
        <w:t>Figure</w:t>
      </w:r>
      <w:r w:rsidRPr="00C55D3E">
        <w:rPr>
          <w:rFonts w:ascii="Times New Roman" w:hAnsi="Times New Roman" w:cs="Times New Roman"/>
          <w:b/>
          <w:bCs/>
        </w:rPr>
        <w:t xml:space="preserve"> V</w:t>
      </w:r>
      <w:r w:rsidRPr="00C55D3E">
        <w:rPr>
          <w:rFonts w:asciiTheme="majorBidi" w:hAnsiTheme="majorBidi" w:cstheme="majorBidi"/>
          <w:b/>
          <w:bCs/>
        </w:rPr>
        <w:t xml:space="preserve"> </w:t>
      </w:r>
      <w:r w:rsidR="00CF793A">
        <w:rPr>
          <w:rFonts w:asciiTheme="majorBidi" w:hAnsiTheme="majorBidi" w:cstheme="majorBidi"/>
          <w:b/>
          <w:bCs/>
        </w:rPr>
        <w:t>.17</w:t>
      </w:r>
      <w:r w:rsidRPr="00C55D3E">
        <w:rPr>
          <w:rFonts w:asciiTheme="majorBidi" w:hAnsiTheme="majorBidi" w:cstheme="majorBidi"/>
          <w:b/>
          <w:bCs/>
        </w:rPr>
        <w:t>:</w:t>
      </w:r>
      <w:r w:rsidR="008A2583" w:rsidRPr="008A2583">
        <w:rPr>
          <w:rFonts w:asciiTheme="majorBidi" w:hAnsiTheme="majorBidi" w:cstheme="majorBidi"/>
        </w:rPr>
        <w:t xml:space="preserve">: </w:t>
      </w:r>
      <w:r w:rsidR="00623177" w:rsidRPr="00E840C1">
        <w:rPr>
          <w:rFonts w:asciiTheme="majorBidi" w:hAnsiTheme="majorBidi" w:cstheme="majorBidi"/>
          <w:sz w:val="24"/>
          <w:szCs w:val="24"/>
          <w:lang w:bidi="ar-DZ"/>
        </w:rPr>
        <w:t>Vue à trois dime</w:t>
      </w:r>
      <w:r w:rsidR="00623177">
        <w:rPr>
          <w:rFonts w:asciiTheme="majorBidi" w:hAnsiTheme="majorBidi" w:cstheme="majorBidi"/>
          <w:sz w:val="24"/>
          <w:szCs w:val="24"/>
          <w:lang w:bidi="ar-DZ"/>
        </w:rPr>
        <w:t xml:space="preserve">nsion de la hauteur d’eau   (72 heures=3 </w:t>
      </w:r>
      <w:r w:rsidR="00623177" w:rsidRPr="00E840C1">
        <w:rPr>
          <w:rFonts w:asciiTheme="majorBidi" w:hAnsiTheme="majorBidi" w:cstheme="majorBidi"/>
          <w:sz w:val="24"/>
          <w:szCs w:val="24"/>
          <w:lang w:bidi="ar-DZ"/>
        </w:rPr>
        <w:t>jours)</w:t>
      </w:r>
    </w:p>
    <w:p w:rsidR="00203B52" w:rsidRDefault="000A27C7" w:rsidP="00203B52">
      <w:pPr>
        <w:autoSpaceDE w:val="0"/>
        <w:autoSpaceDN w:val="0"/>
        <w:adjustRightInd w:val="0"/>
        <w:spacing w:after="0" w:line="240" w:lineRule="auto"/>
        <w:rPr>
          <w:rFonts w:ascii="Times New Roman" w:hAnsi="Times New Roman" w:cs="Times New Roman"/>
          <w:color w:val="000000"/>
          <w:w w:val="109"/>
          <w:position w:val="5"/>
          <w:sz w:val="20"/>
          <w:szCs w:val="20"/>
        </w:rPr>
      </w:pPr>
      <w:r>
        <w:rPr>
          <w:rFonts w:ascii="Times New Roman" w:hAnsi="Times New Roman" w:cs="Times New Roman"/>
          <w:color w:val="000000"/>
          <w:w w:val="109"/>
          <w:position w:val="5"/>
          <w:sz w:val="20"/>
          <w:szCs w:val="20"/>
        </w:rPr>
        <w:lastRenderedPageBreak/>
        <w:t xml:space="preserve">                                                         </w:t>
      </w:r>
    </w:p>
    <w:p w:rsidR="00434A24" w:rsidRDefault="00434A24" w:rsidP="00E57F5C">
      <w:pPr>
        <w:autoSpaceDE w:val="0"/>
        <w:autoSpaceDN w:val="0"/>
        <w:adjustRightInd w:val="0"/>
        <w:spacing w:after="0" w:line="360" w:lineRule="auto"/>
        <w:jc w:val="center"/>
        <w:rPr>
          <w:rFonts w:asciiTheme="majorBidi" w:hAnsiTheme="majorBidi" w:cstheme="majorBidi"/>
          <w:b/>
          <w:bCs/>
          <w:sz w:val="24"/>
          <w:szCs w:val="24"/>
        </w:rPr>
      </w:pPr>
      <w:r>
        <w:rPr>
          <w:rFonts w:asciiTheme="majorBidi" w:hAnsiTheme="majorBidi" w:cstheme="majorBidi"/>
          <w:b/>
          <w:bCs/>
          <w:noProof/>
          <w:sz w:val="24"/>
          <w:szCs w:val="24"/>
          <w:lang w:eastAsia="fr-FR"/>
        </w:rPr>
        <w:drawing>
          <wp:inline distT="0" distB="0" distL="0" distR="0">
            <wp:extent cx="4242229" cy="3960000"/>
            <wp:effectExtent l="19050" t="0" r="5921" b="0"/>
            <wp:docPr id="17"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srcRect/>
                    <a:stretch>
                      <a:fillRect/>
                    </a:stretch>
                  </pic:blipFill>
                  <pic:spPr bwMode="auto">
                    <a:xfrm>
                      <a:off x="0" y="0"/>
                      <a:ext cx="4242229" cy="3960000"/>
                    </a:xfrm>
                    <a:prstGeom prst="rect">
                      <a:avLst/>
                    </a:prstGeom>
                    <a:noFill/>
                    <a:ln w="9525">
                      <a:noFill/>
                      <a:miter lim="800000"/>
                      <a:headEnd/>
                      <a:tailEnd/>
                    </a:ln>
                  </pic:spPr>
                </pic:pic>
              </a:graphicData>
            </a:graphic>
          </wp:inline>
        </w:drawing>
      </w:r>
    </w:p>
    <w:p w:rsidR="00C12F28" w:rsidRPr="00651C1B" w:rsidRDefault="00E21832" w:rsidP="00C12F28">
      <w:pPr>
        <w:spacing w:before="240"/>
        <w:jc w:val="center"/>
        <w:rPr>
          <w:rFonts w:asciiTheme="majorBidi" w:hAnsiTheme="majorBidi" w:cstheme="majorBidi"/>
        </w:rPr>
      </w:pPr>
      <w:r w:rsidRPr="00C55D3E">
        <w:rPr>
          <w:rFonts w:asciiTheme="majorBidi" w:hAnsiTheme="majorBidi" w:cstheme="majorBidi"/>
          <w:b/>
          <w:bCs/>
        </w:rPr>
        <w:t>Figure</w:t>
      </w:r>
      <w:r w:rsidRPr="00C55D3E">
        <w:rPr>
          <w:rFonts w:ascii="Times New Roman" w:hAnsi="Times New Roman" w:cs="Times New Roman"/>
          <w:b/>
          <w:bCs/>
        </w:rPr>
        <w:t xml:space="preserve"> V</w:t>
      </w:r>
      <w:r w:rsidRPr="00C55D3E">
        <w:rPr>
          <w:rFonts w:asciiTheme="majorBidi" w:hAnsiTheme="majorBidi" w:cstheme="majorBidi"/>
          <w:b/>
          <w:bCs/>
        </w:rPr>
        <w:t xml:space="preserve"> </w:t>
      </w:r>
      <w:r w:rsidR="00E0684A">
        <w:rPr>
          <w:rFonts w:asciiTheme="majorBidi" w:hAnsiTheme="majorBidi" w:cstheme="majorBidi"/>
          <w:b/>
          <w:bCs/>
        </w:rPr>
        <w:t>.15</w:t>
      </w:r>
      <w:r w:rsidRPr="00C55D3E">
        <w:rPr>
          <w:rFonts w:asciiTheme="majorBidi" w:hAnsiTheme="majorBidi" w:cstheme="majorBidi"/>
          <w:b/>
          <w:bCs/>
        </w:rPr>
        <w:t>:</w:t>
      </w:r>
      <w:r w:rsidR="002F3E9D" w:rsidRPr="000B7050">
        <w:rPr>
          <w:rFonts w:asciiTheme="majorBidi" w:hAnsiTheme="majorBidi" w:cstheme="majorBidi"/>
        </w:rPr>
        <w:t xml:space="preserve">Courbe iso hauteur </w:t>
      </w:r>
      <w:r w:rsidR="00623177">
        <w:rPr>
          <w:rFonts w:ascii="Times New Roman" w:hAnsi="Times New Roman" w:cs="Times New Roman"/>
        </w:rPr>
        <w:t xml:space="preserve">de la nappe </w:t>
      </w:r>
      <w:r w:rsidR="00623177">
        <w:rPr>
          <w:rFonts w:asciiTheme="majorBidi" w:hAnsiTheme="majorBidi" w:cstheme="majorBidi"/>
          <w:sz w:val="24"/>
          <w:szCs w:val="24"/>
          <w:lang w:bidi="ar-DZ"/>
        </w:rPr>
        <w:t xml:space="preserve">  (72 heures=3</w:t>
      </w:r>
      <w:r w:rsidR="00623177" w:rsidRPr="00E840C1">
        <w:rPr>
          <w:rFonts w:asciiTheme="majorBidi" w:hAnsiTheme="majorBidi" w:cstheme="majorBidi"/>
          <w:sz w:val="24"/>
          <w:szCs w:val="24"/>
          <w:lang w:bidi="ar-DZ"/>
        </w:rPr>
        <w:t>jours)</w:t>
      </w:r>
    </w:p>
    <w:p w:rsidR="00574EF0" w:rsidRDefault="00E97C8D" w:rsidP="00C12F28">
      <w:pPr>
        <w:autoSpaceDE w:val="0"/>
        <w:autoSpaceDN w:val="0"/>
        <w:adjustRightInd w:val="0"/>
        <w:spacing w:before="240" w:after="0" w:line="240" w:lineRule="auto"/>
        <w:jc w:val="center"/>
        <w:rPr>
          <w:rFonts w:ascii="Times New Roman" w:hAnsi="Times New Roman" w:cs="Times New Roman"/>
          <w:b/>
          <w:bCs/>
          <w:sz w:val="28"/>
          <w:szCs w:val="28"/>
        </w:rPr>
      </w:pPr>
      <w:r>
        <w:rPr>
          <w:rFonts w:ascii="Times New Roman" w:hAnsi="Times New Roman" w:cs="Times New Roman"/>
          <w:b/>
          <w:bCs/>
          <w:noProof/>
          <w:sz w:val="28"/>
          <w:szCs w:val="28"/>
          <w:lang w:eastAsia="fr-FR"/>
        </w:rPr>
        <w:drawing>
          <wp:inline distT="0" distB="0" distL="0" distR="0">
            <wp:extent cx="4200114" cy="3960000"/>
            <wp:effectExtent l="19050" t="0" r="0" b="0"/>
            <wp:docPr id="18"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srcRect/>
                    <a:stretch>
                      <a:fillRect/>
                    </a:stretch>
                  </pic:blipFill>
                  <pic:spPr bwMode="auto">
                    <a:xfrm>
                      <a:off x="0" y="0"/>
                      <a:ext cx="4200114" cy="3960000"/>
                    </a:xfrm>
                    <a:prstGeom prst="rect">
                      <a:avLst/>
                    </a:prstGeom>
                    <a:noFill/>
                    <a:ln w="9525">
                      <a:noFill/>
                      <a:miter lim="800000"/>
                      <a:headEnd/>
                      <a:tailEnd/>
                    </a:ln>
                  </pic:spPr>
                </pic:pic>
              </a:graphicData>
            </a:graphic>
          </wp:inline>
        </w:drawing>
      </w:r>
    </w:p>
    <w:p w:rsidR="00C12F28" w:rsidRDefault="00C12F28" w:rsidP="00E57F5C">
      <w:pPr>
        <w:autoSpaceDE w:val="0"/>
        <w:autoSpaceDN w:val="0"/>
        <w:adjustRightInd w:val="0"/>
        <w:spacing w:before="240" w:after="0" w:line="240" w:lineRule="auto"/>
        <w:rPr>
          <w:rFonts w:ascii="Times New Roman" w:hAnsi="Times New Roman" w:cs="Times New Roman"/>
          <w:b/>
          <w:bCs/>
          <w:sz w:val="28"/>
          <w:szCs w:val="28"/>
        </w:rPr>
      </w:pPr>
      <w:r>
        <w:rPr>
          <w:rFonts w:ascii="Times New Roman" w:hAnsi="Times New Roman" w:cs="Times New Roman"/>
        </w:rPr>
        <w:t xml:space="preserve">                           </w:t>
      </w:r>
      <w:r w:rsidRPr="00C55D3E">
        <w:rPr>
          <w:rFonts w:asciiTheme="majorBidi" w:hAnsiTheme="majorBidi" w:cstheme="majorBidi"/>
          <w:b/>
          <w:bCs/>
        </w:rPr>
        <w:t>Figure</w:t>
      </w:r>
      <w:r w:rsidRPr="00C55D3E">
        <w:rPr>
          <w:rFonts w:ascii="Times New Roman" w:hAnsi="Times New Roman" w:cs="Times New Roman"/>
          <w:b/>
          <w:bCs/>
        </w:rPr>
        <w:t xml:space="preserve"> V</w:t>
      </w:r>
      <w:r w:rsidRPr="00C55D3E">
        <w:rPr>
          <w:rFonts w:asciiTheme="majorBidi" w:hAnsiTheme="majorBidi" w:cstheme="majorBidi"/>
          <w:b/>
          <w:bCs/>
        </w:rPr>
        <w:t xml:space="preserve"> </w:t>
      </w:r>
      <w:r>
        <w:rPr>
          <w:rFonts w:asciiTheme="majorBidi" w:hAnsiTheme="majorBidi" w:cstheme="majorBidi"/>
          <w:b/>
          <w:bCs/>
        </w:rPr>
        <w:t>.15</w:t>
      </w:r>
      <w:r w:rsidRPr="00C55D3E">
        <w:rPr>
          <w:rFonts w:asciiTheme="majorBidi" w:hAnsiTheme="majorBidi" w:cstheme="majorBidi"/>
          <w:b/>
          <w:bCs/>
        </w:rPr>
        <w:t>:</w:t>
      </w:r>
      <w:r>
        <w:rPr>
          <w:rFonts w:ascii="Times New Roman" w:hAnsi="Times New Roman" w:cs="Times New Roman"/>
        </w:rPr>
        <w:t xml:space="preserve"> </w:t>
      </w:r>
      <w:r w:rsidRPr="001C0B95">
        <w:rPr>
          <w:rFonts w:ascii="Times New Roman" w:hAnsi="Times New Roman" w:cs="Times New Roman"/>
        </w:rPr>
        <w:t xml:space="preserve">l’évolution de la hauteur d’eau dans la </w:t>
      </w:r>
      <w:r>
        <w:rPr>
          <w:rFonts w:ascii="Times New Roman" w:hAnsi="Times New Roman" w:cs="Times New Roman"/>
        </w:rPr>
        <w:t xml:space="preserve">nappe </w:t>
      </w:r>
      <w:r w:rsidRPr="001C0B95">
        <w:rPr>
          <w:rFonts w:ascii="Times New Roman" w:hAnsi="Times New Roman" w:cs="Times New Roman"/>
        </w:rPr>
        <w:t>en fonction du temps.</w:t>
      </w:r>
    </w:p>
    <w:p w:rsidR="00915ABE" w:rsidRDefault="00BC7A34" w:rsidP="00E57F5C">
      <w:pPr>
        <w:autoSpaceDE w:val="0"/>
        <w:autoSpaceDN w:val="0"/>
        <w:adjustRightInd w:val="0"/>
        <w:spacing w:before="240" w:after="0" w:line="240" w:lineRule="auto"/>
        <w:rPr>
          <w:rFonts w:asciiTheme="majorBidi" w:hAnsiTheme="majorBidi" w:cstheme="majorBidi"/>
          <w:b/>
          <w:bCs/>
          <w:sz w:val="28"/>
          <w:szCs w:val="28"/>
        </w:rPr>
      </w:pPr>
      <w:r w:rsidRPr="00361368">
        <w:rPr>
          <w:rFonts w:ascii="Times New Roman" w:hAnsi="Times New Roman" w:cs="Times New Roman"/>
          <w:b/>
          <w:bCs/>
          <w:sz w:val="28"/>
          <w:szCs w:val="28"/>
        </w:rPr>
        <w:lastRenderedPageBreak/>
        <w:t>V</w:t>
      </w:r>
      <w:r w:rsidR="00CF793A">
        <w:rPr>
          <w:rFonts w:asciiTheme="majorBidi" w:hAnsiTheme="majorBidi" w:cstheme="majorBidi"/>
          <w:b/>
          <w:bCs/>
          <w:sz w:val="28"/>
          <w:szCs w:val="28"/>
        </w:rPr>
        <w:t xml:space="preserve"> .3</w:t>
      </w:r>
      <w:r w:rsidRPr="00361368">
        <w:rPr>
          <w:rFonts w:asciiTheme="majorBidi" w:hAnsiTheme="majorBidi" w:cstheme="majorBidi"/>
          <w:b/>
          <w:bCs/>
          <w:sz w:val="28"/>
          <w:szCs w:val="28"/>
        </w:rPr>
        <w:t>.</w:t>
      </w:r>
      <w:r>
        <w:rPr>
          <w:rFonts w:asciiTheme="majorBidi" w:hAnsiTheme="majorBidi" w:cstheme="majorBidi"/>
          <w:b/>
          <w:bCs/>
          <w:sz w:val="28"/>
          <w:szCs w:val="28"/>
        </w:rPr>
        <w:t>2.</w:t>
      </w:r>
      <w:r w:rsidR="00CF793A">
        <w:rPr>
          <w:rFonts w:ascii="Times New Roman" w:hAnsi="Times New Roman" w:cs="Times New Roman"/>
          <w:b/>
          <w:bCs/>
          <w:sz w:val="28"/>
          <w:szCs w:val="28"/>
        </w:rPr>
        <w:t>R</w:t>
      </w:r>
      <w:r w:rsidR="00E57F5C" w:rsidRPr="00E57F5C">
        <w:rPr>
          <w:rFonts w:ascii="Times New Roman" w:hAnsi="Times New Roman" w:cs="Times New Roman"/>
          <w:b/>
          <w:bCs/>
          <w:sz w:val="28"/>
          <w:szCs w:val="28"/>
        </w:rPr>
        <w:t xml:space="preserve">echarge </w:t>
      </w:r>
      <w:r w:rsidR="00CF793A">
        <w:rPr>
          <w:rFonts w:ascii="Times New Roman" w:hAnsi="Times New Roman" w:cs="Times New Roman"/>
          <w:b/>
          <w:bCs/>
          <w:sz w:val="28"/>
          <w:szCs w:val="28"/>
        </w:rPr>
        <w:t>par b</w:t>
      </w:r>
      <w:r w:rsidR="006267E1" w:rsidRPr="00E57F5C">
        <w:rPr>
          <w:rFonts w:asciiTheme="majorBidi" w:hAnsiTheme="majorBidi" w:cstheme="majorBidi"/>
          <w:b/>
          <w:bCs/>
          <w:sz w:val="28"/>
          <w:szCs w:val="28"/>
        </w:rPr>
        <w:t>assin d’infiltration</w:t>
      </w:r>
      <w:r>
        <w:rPr>
          <w:rFonts w:asciiTheme="majorBidi" w:hAnsiTheme="majorBidi" w:cstheme="majorBidi"/>
          <w:b/>
          <w:bCs/>
          <w:sz w:val="28"/>
          <w:szCs w:val="28"/>
        </w:rPr>
        <w:t>:</w:t>
      </w:r>
      <w:r w:rsidR="006267E1" w:rsidRPr="00E57F5C">
        <w:rPr>
          <w:rFonts w:asciiTheme="majorBidi" w:hAnsiTheme="majorBidi" w:cstheme="majorBidi"/>
          <w:b/>
          <w:bCs/>
          <w:sz w:val="28"/>
          <w:szCs w:val="28"/>
        </w:rPr>
        <w:t> </w:t>
      </w:r>
    </w:p>
    <w:p w:rsidR="00E57F5C" w:rsidRPr="00E57F5C" w:rsidRDefault="00E57F5C" w:rsidP="00915ABE">
      <w:pPr>
        <w:autoSpaceDE w:val="0"/>
        <w:autoSpaceDN w:val="0"/>
        <w:adjustRightInd w:val="0"/>
        <w:spacing w:after="0" w:line="240" w:lineRule="auto"/>
        <w:rPr>
          <w:rFonts w:asciiTheme="majorBidi" w:hAnsiTheme="majorBidi" w:cstheme="majorBidi"/>
          <w:b/>
          <w:bCs/>
          <w:sz w:val="28"/>
          <w:szCs w:val="28"/>
        </w:rPr>
      </w:pPr>
    </w:p>
    <w:p w:rsidR="004F17E3" w:rsidRPr="00A222CF" w:rsidRDefault="008A2583" w:rsidP="00915ABE">
      <w:pPr>
        <w:autoSpaceDE w:val="0"/>
        <w:autoSpaceDN w:val="0"/>
        <w:adjustRightInd w:val="0"/>
        <w:spacing w:after="0" w:line="360" w:lineRule="auto"/>
        <w:jc w:val="both"/>
        <w:rPr>
          <w:rFonts w:ascii="Times New Roman" w:hAnsi="Times New Roman" w:cs="Times New Roman"/>
          <w:sz w:val="24"/>
          <w:szCs w:val="24"/>
        </w:rPr>
      </w:pPr>
      <w:r w:rsidRPr="00A222CF">
        <w:rPr>
          <w:rFonts w:ascii="Times New Roman" w:hAnsi="Times New Roman" w:cs="Times New Roman"/>
          <w:sz w:val="24"/>
          <w:szCs w:val="24"/>
        </w:rPr>
        <w:t>La nappe est modélisée ici par un domaine régulier</w:t>
      </w:r>
      <w:r w:rsidR="00DB0B25" w:rsidRPr="00A222CF">
        <w:rPr>
          <w:rFonts w:ascii="Times New Roman" w:hAnsi="Times New Roman" w:cs="Times New Roman"/>
          <w:sz w:val="24"/>
          <w:szCs w:val="24"/>
        </w:rPr>
        <w:t xml:space="preserve"> de dimension 2000m×2000m.</w:t>
      </w:r>
      <w:r w:rsidR="004F17E3" w:rsidRPr="00A222CF">
        <w:rPr>
          <w:rFonts w:ascii="Times New Roman" w:hAnsi="Times New Roman" w:cs="Times New Roman"/>
          <w:sz w:val="24"/>
          <w:szCs w:val="24"/>
        </w:rPr>
        <w:t xml:space="preserve"> Le contour et le substratum de la nappe sont imperméables. </w:t>
      </w:r>
      <w:r w:rsidR="00DB0B25" w:rsidRPr="00A222CF">
        <w:rPr>
          <w:rFonts w:ascii="Times New Roman" w:hAnsi="Times New Roman" w:cs="Times New Roman"/>
          <w:sz w:val="24"/>
          <w:szCs w:val="24"/>
        </w:rPr>
        <w:t xml:space="preserve">Le coefficient d’emmagasinement égale à </w:t>
      </w:r>
      <w:r w:rsidR="004F17E3" w:rsidRPr="00A222CF">
        <w:rPr>
          <w:rFonts w:ascii="Times New Roman" w:hAnsi="Times New Roman" w:cs="Times New Roman"/>
          <w:sz w:val="24"/>
          <w:szCs w:val="24"/>
        </w:rPr>
        <w:t xml:space="preserve">0.1 ; le coefficient perméabilité du sol est de 0.01m/s, la hauteur initiale </w:t>
      </w:r>
      <w:r w:rsidR="00EF66CA" w:rsidRPr="00A222CF">
        <w:rPr>
          <w:rFonts w:ascii="Times New Roman" w:hAnsi="Times New Roman" w:cs="Times New Roman"/>
          <w:sz w:val="24"/>
          <w:szCs w:val="24"/>
        </w:rPr>
        <w:t>de l’eau dans la nappe est de 66</w:t>
      </w:r>
      <w:r w:rsidR="004F17E3" w:rsidRPr="00A222CF">
        <w:rPr>
          <w:rFonts w:ascii="Times New Roman" w:hAnsi="Times New Roman" w:cs="Times New Roman"/>
          <w:sz w:val="24"/>
          <w:szCs w:val="24"/>
        </w:rPr>
        <w:t xml:space="preserve"> m. </w:t>
      </w:r>
      <w:r w:rsidR="00DB0B25" w:rsidRPr="00A222CF">
        <w:rPr>
          <w:rFonts w:ascii="Times New Roman" w:hAnsi="Times New Roman" w:cs="Times New Roman"/>
          <w:sz w:val="24"/>
          <w:szCs w:val="24"/>
        </w:rPr>
        <w:t xml:space="preserve">La recharge se fait  par injection par bassin d'infiltration de dimensions  ( 50m×30m) dans  la nappe. La variation de la hauteur d’eau en fonction de temps dans la nappe est mesurée aux niveaux des nœud M1, M2, M3 (voir figure V.20). </w:t>
      </w:r>
    </w:p>
    <w:p w:rsidR="002733D9" w:rsidRDefault="002733D9" w:rsidP="002733D9">
      <w:pPr>
        <w:tabs>
          <w:tab w:val="left" w:pos="3633"/>
        </w:tabs>
        <w:spacing w:after="0" w:line="240" w:lineRule="auto"/>
        <w:jc w:val="center"/>
        <w:rPr>
          <w:noProof/>
          <w:lang w:val="en-US"/>
        </w:rPr>
      </w:pPr>
      <w:r>
        <w:rPr>
          <w:noProof/>
          <w:lang w:eastAsia="fr-FR"/>
        </w:rPr>
        <w:drawing>
          <wp:inline distT="0" distB="0" distL="0" distR="0">
            <wp:extent cx="5048170" cy="3780000"/>
            <wp:effectExtent l="19050" t="0" r="80" b="0"/>
            <wp:docPr id="46"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stretch>
                      <a:fillRect/>
                    </a:stretch>
                  </pic:blipFill>
                  <pic:spPr bwMode="auto">
                    <a:xfrm>
                      <a:off x="0" y="0"/>
                      <a:ext cx="5048170" cy="3780000"/>
                    </a:xfrm>
                    <a:prstGeom prst="rect">
                      <a:avLst/>
                    </a:prstGeom>
                    <a:noFill/>
                    <a:ln w="9525">
                      <a:noFill/>
                      <a:miter lim="800000"/>
                      <a:headEnd/>
                      <a:tailEnd/>
                    </a:ln>
                  </pic:spPr>
                </pic:pic>
              </a:graphicData>
            </a:graphic>
          </wp:inline>
        </w:drawing>
      </w:r>
    </w:p>
    <w:p w:rsidR="002733D9" w:rsidRPr="00E21832" w:rsidRDefault="002733D9" w:rsidP="002733D9">
      <w:pPr>
        <w:tabs>
          <w:tab w:val="left" w:pos="3633"/>
        </w:tabs>
        <w:spacing w:line="240" w:lineRule="auto"/>
        <w:jc w:val="center"/>
        <w:rPr>
          <w:noProof/>
        </w:rPr>
      </w:pPr>
      <w:r w:rsidRPr="00C55D3E">
        <w:rPr>
          <w:rFonts w:asciiTheme="majorBidi" w:hAnsiTheme="majorBidi" w:cstheme="majorBidi"/>
          <w:b/>
          <w:bCs/>
        </w:rPr>
        <w:t>Figure</w:t>
      </w:r>
      <w:r w:rsidRPr="00C55D3E">
        <w:rPr>
          <w:rFonts w:ascii="Times New Roman" w:hAnsi="Times New Roman" w:cs="Times New Roman"/>
          <w:b/>
          <w:bCs/>
        </w:rPr>
        <w:t xml:space="preserve"> V</w:t>
      </w:r>
      <w:r w:rsidRPr="00C55D3E">
        <w:rPr>
          <w:rFonts w:asciiTheme="majorBidi" w:hAnsiTheme="majorBidi" w:cstheme="majorBidi"/>
          <w:b/>
          <w:bCs/>
        </w:rPr>
        <w:t xml:space="preserve"> </w:t>
      </w:r>
      <w:r>
        <w:rPr>
          <w:rFonts w:asciiTheme="majorBidi" w:hAnsiTheme="majorBidi" w:cstheme="majorBidi"/>
          <w:b/>
          <w:bCs/>
        </w:rPr>
        <w:t>.21</w:t>
      </w:r>
      <w:r w:rsidRPr="00C55D3E">
        <w:rPr>
          <w:rFonts w:asciiTheme="majorBidi" w:hAnsiTheme="majorBidi" w:cstheme="majorBidi"/>
          <w:b/>
          <w:bCs/>
        </w:rPr>
        <w:t>:</w:t>
      </w:r>
      <w:r>
        <w:rPr>
          <w:rFonts w:asciiTheme="majorBidi" w:hAnsiTheme="majorBidi" w:cstheme="majorBidi"/>
          <w:b/>
          <w:bCs/>
        </w:rPr>
        <w:t xml:space="preserve"> </w:t>
      </w:r>
      <w:r w:rsidRPr="00323C0F">
        <w:rPr>
          <w:rFonts w:asciiTheme="majorBidi" w:hAnsiTheme="majorBidi" w:cstheme="majorBidi"/>
        </w:rPr>
        <w:t>géométrie de Domaine</w:t>
      </w:r>
      <w:r>
        <w:rPr>
          <w:rFonts w:asciiTheme="majorBidi" w:hAnsiTheme="majorBidi" w:cstheme="majorBidi"/>
          <w:b/>
          <w:bCs/>
        </w:rPr>
        <w:t xml:space="preserve"> </w:t>
      </w:r>
    </w:p>
    <w:p w:rsidR="00BD5EC3" w:rsidRDefault="00A222CF" w:rsidP="00B2300F">
      <w:pPr>
        <w:rPr>
          <w:rFonts w:asciiTheme="majorBidi" w:hAnsiTheme="majorBidi" w:cstheme="majorBidi"/>
          <w:bCs/>
          <w:sz w:val="24"/>
          <w:szCs w:val="24"/>
        </w:rPr>
      </w:pPr>
      <w:r w:rsidRPr="00A222CF">
        <w:rPr>
          <w:rFonts w:asciiTheme="majorBidi" w:hAnsiTheme="majorBidi" w:cstheme="majorBidi"/>
          <w:bCs/>
          <w:sz w:val="24"/>
          <w:szCs w:val="24"/>
        </w:rPr>
        <w:t xml:space="preserve">Les résultats de </w:t>
      </w:r>
      <w:r>
        <w:rPr>
          <w:rFonts w:asciiTheme="majorBidi" w:hAnsiTheme="majorBidi" w:cstheme="majorBidi"/>
          <w:bCs/>
          <w:sz w:val="24"/>
          <w:szCs w:val="24"/>
        </w:rPr>
        <w:t>la simulation après une durée de recharge</w:t>
      </w:r>
      <w:r w:rsidR="00BD5EC3">
        <w:rPr>
          <w:rFonts w:asciiTheme="majorBidi" w:hAnsiTheme="majorBidi" w:cstheme="majorBidi"/>
          <w:bCs/>
          <w:sz w:val="24"/>
          <w:szCs w:val="24"/>
        </w:rPr>
        <w:t xml:space="preserve"> de 10 jours sont montrés sur les figures (V.21) et (V.22). Sur ces figures on remarque que la hauteur d’eau diminue en s’éloignant du bassin de recharge, ce qui compatible la réalité.</w:t>
      </w:r>
    </w:p>
    <w:p w:rsidR="00200CA8" w:rsidRPr="00A222CF" w:rsidRDefault="00BD5EC3" w:rsidP="00B2300F">
      <w:pPr>
        <w:rPr>
          <w:rFonts w:asciiTheme="majorBidi" w:hAnsiTheme="majorBidi" w:cstheme="majorBidi"/>
          <w:bCs/>
          <w:sz w:val="24"/>
          <w:szCs w:val="24"/>
        </w:rPr>
      </w:pPr>
      <w:r>
        <w:rPr>
          <w:rFonts w:asciiTheme="majorBidi" w:hAnsiTheme="majorBidi" w:cstheme="majorBidi"/>
          <w:bCs/>
          <w:sz w:val="24"/>
          <w:szCs w:val="24"/>
        </w:rPr>
        <w:t xml:space="preserve">Sur la figure(V.24), on trace la variation de la hauteur d’eau </w:t>
      </w:r>
      <w:r w:rsidR="00652F52">
        <w:rPr>
          <w:rFonts w:asciiTheme="majorBidi" w:hAnsiTheme="majorBidi" w:cstheme="majorBidi"/>
          <w:bCs/>
          <w:sz w:val="24"/>
          <w:szCs w:val="24"/>
        </w:rPr>
        <w:t xml:space="preserve">en fonction du temps aux niveaux des nœuds M1, M2, M3. Ces courbes ont une importance pour déterminer le temps recharge de la nappe.   </w:t>
      </w:r>
      <w:r>
        <w:rPr>
          <w:rFonts w:asciiTheme="majorBidi" w:hAnsiTheme="majorBidi" w:cstheme="majorBidi"/>
          <w:bCs/>
          <w:sz w:val="24"/>
          <w:szCs w:val="24"/>
        </w:rPr>
        <w:t xml:space="preserve">   </w:t>
      </w:r>
    </w:p>
    <w:p w:rsidR="003D7765" w:rsidRDefault="003D7765" w:rsidP="00E57F5C">
      <w:pPr>
        <w:jc w:val="center"/>
        <w:rPr>
          <w:rtl/>
          <w:lang w:bidi="ar-DZ"/>
        </w:rPr>
      </w:pPr>
    </w:p>
    <w:p w:rsidR="003D7765" w:rsidRDefault="00E21832" w:rsidP="00E57F5C">
      <w:pPr>
        <w:jc w:val="center"/>
        <w:rPr>
          <w:rFonts w:asciiTheme="majorBidi" w:hAnsiTheme="majorBidi" w:cstheme="majorBidi"/>
          <w:sz w:val="24"/>
          <w:szCs w:val="24"/>
          <w:lang w:bidi="ar-DZ"/>
        </w:rPr>
      </w:pPr>
      <w:r w:rsidRPr="00C55D3E">
        <w:rPr>
          <w:rFonts w:asciiTheme="majorBidi" w:hAnsiTheme="majorBidi" w:cstheme="majorBidi"/>
          <w:b/>
          <w:bCs/>
        </w:rPr>
        <w:lastRenderedPageBreak/>
        <w:t>Figure</w:t>
      </w:r>
      <w:r w:rsidRPr="00C55D3E">
        <w:rPr>
          <w:rFonts w:ascii="Times New Roman" w:hAnsi="Times New Roman" w:cs="Times New Roman"/>
          <w:b/>
          <w:bCs/>
        </w:rPr>
        <w:t xml:space="preserve"> V</w:t>
      </w:r>
      <w:r w:rsidRPr="00C55D3E">
        <w:rPr>
          <w:rFonts w:asciiTheme="majorBidi" w:hAnsiTheme="majorBidi" w:cstheme="majorBidi"/>
          <w:b/>
          <w:bCs/>
        </w:rPr>
        <w:t xml:space="preserve"> </w:t>
      </w:r>
      <w:r w:rsidR="002733D9">
        <w:rPr>
          <w:rFonts w:asciiTheme="majorBidi" w:hAnsiTheme="majorBidi" w:cstheme="majorBidi"/>
          <w:b/>
          <w:bCs/>
        </w:rPr>
        <w:t>.21</w:t>
      </w:r>
      <w:r w:rsidRPr="00C55D3E">
        <w:rPr>
          <w:rFonts w:asciiTheme="majorBidi" w:hAnsiTheme="majorBidi" w:cstheme="majorBidi"/>
          <w:b/>
          <w:bCs/>
        </w:rPr>
        <w:t>:</w:t>
      </w:r>
      <w:r w:rsidR="00312F77">
        <w:rPr>
          <w:rFonts w:asciiTheme="majorBidi" w:hAnsiTheme="majorBidi" w:cstheme="majorBidi"/>
          <w:b/>
          <w:bCs/>
        </w:rPr>
        <w:t xml:space="preserve"> </w:t>
      </w:r>
      <w:r w:rsidR="00E840C1" w:rsidRPr="00E840C1">
        <w:rPr>
          <w:rFonts w:asciiTheme="majorBidi" w:hAnsiTheme="majorBidi" w:cstheme="majorBidi"/>
          <w:sz w:val="24"/>
          <w:szCs w:val="24"/>
          <w:lang w:bidi="ar-DZ"/>
        </w:rPr>
        <w:t>Vue à trois dimension de la hauteur d’eau   (240 heures=10jours)</w:t>
      </w:r>
      <w:r w:rsidR="00E64EBD" w:rsidRPr="00E64EBD">
        <w:rPr>
          <w:noProof/>
          <w:lang w:eastAsia="fr-FR"/>
        </w:rPr>
        <w:t xml:space="preserve"> </w:t>
      </w:r>
      <w:r w:rsidR="00E64EBD" w:rsidRPr="00E64EBD">
        <w:rPr>
          <w:rFonts w:asciiTheme="majorBidi" w:hAnsiTheme="majorBidi" w:cstheme="majorBidi"/>
          <w:sz w:val="24"/>
          <w:szCs w:val="24"/>
          <w:lang w:bidi="ar-DZ"/>
        </w:rPr>
        <w:drawing>
          <wp:inline distT="0" distB="0" distL="0" distR="0">
            <wp:extent cx="5939790" cy="3658041"/>
            <wp:effectExtent l="19050" t="0" r="0" b="0"/>
            <wp:docPr id="3" name="صورة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srcRect/>
                    <a:stretch>
                      <a:fillRect/>
                    </a:stretch>
                  </pic:blipFill>
                  <pic:spPr bwMode="auto">
                    <a:xfrm>
                      <a:off x="0" y="0"/>
                      <a:ext cx="5939790" cy="3658041"/>
                    </a:xfrm>
                    <a:prstGeom prst="rect">
                      <a:avLst/>
                    </a:prstGeom>
                    <a:noFill/>
                    <a:ln w="9525">
                      <a:noFill/>
                      <a:miter lim="800000"/>
                      <a:headEnd/>
                      <a:tailEnd/>
                    </a:ln>
                  </pic:spPr>
                </pic:pic>
              </a:graphicData>
            </a:graphic>
          </wp:inline>
        </w:drawing>
      </w:r>
    </w:p>
    <w:p w:rsidR="003D7765" w:rsidRPr="00E64EBD" w:rsidRDefault="00312F77" w:rsidP="009F15B8">
      <w:pPr>
        <w:rPr>
          <w:rFonts w:asciiTheme="majorBidi" w:hAnsiTheme="majorBidi" w:cstheme="majorBidi"/>
          <w:sz w:val="24"/>
          <w:szCs w:val="24"/>
          <w:rtl/>
          <w:lang w:bidi="ar-DZ"/>
        </w:rPr>
      </w:pPr>
      <w:r>
        <w:rPr>
          <w:rFonts w:asciiTheme="majorBidi" w:hAnsiTheme="majorBidi" w:cstheme="majorBidi"/>
          <w:sz w:val="24"/>
          <w:szCs w:val="24"/>
          <w:lang w:bidi="ar-DZ"/>
        </w:rPr>
        <w:t>Les hauteurs d’eau au niveau de la paroi et au niveau de l’axe de l’aquifère sont représentés sur la figure (V.23</w:t>
      </w:r>
      <w:r w:rsidR="00E64EBD">
        <w:rPr>
          <w:rFonts w:asciiTheme="majorBidi" w:hAnsiTheme="majorBidi" w:cstheme="majorBidi"/>
          <w:sz w:val="24"/>
          <w:szCs w:val="24"/>
          <w:lang w:bidi="ar-DZ"/>
        </w:rPr>
        <w:t>-a-</w:t>
      </w:r>
      <w:r>
        <w:rPr>
          <w:rFonts w:asciiTheme="majorBidi" w:hAnsiTheme="majorBidi" w:cstheme="majorBidi"/>
          <w:sz w:val="24"/>
          <w:szCs w:val="24"/>
          <w:lang w:bidi="ar-DZ"/>
        </w:rPr>
        <w:t xml:space="preserve">). Ces courbes sont en bon accord avec les courbes obtenues par la </w:t>
      </w:r>
      <w:r w:rsidR="00E64EBD">
        <w:rPr>
          <w:rFonts w:asciiTheme="majorBidi" w:hAnsiTheme="majorBidi" w:cstheme="majorBidi"/>
          <w:sz w:val="24"/>
          <w:szCs w:val="24"/>
          <w:lang w:bidi="ar-DZ"/>
        </w:rPr>
        <w:t xml:space="preserve">méthode de (Runge-Kutta-Gill) [4] dans les mêmes conditions de simulation (figure V.23-b-). Ce qui valide notre modèle. </w:t>
      </w:r>
      <w:r>
        <w:rPr>
          <w:rFonts w:asciiTheme="majorBidi" w:hAnsiTheme="majorBidi" w:cstheme="majorBidi"/>
          <w:sz w:val="24"/>
          <w:szCs w:val="24"/>
          <w:lang w:bidi="ar-DZ"/>
        </w:rPr>
        <w:t xml:space="preserve">    </w:t>
      </w:r>
    </w:p>
    <w:p w:rsidR="008A3B19" w:rsidRDefault="008A3B19" w:rsidP="003D7765">
      <w:pPr>
        <w:jc w:val="center"/>
        <w:rPr>
          <w:rtl/>
          <w:lang w:bidi="ar-DZ"/>
        </w:rPr>
      </w:pPr>
      <w:r>
        <w:rPr>
          <w:noProof/>
          <w:lang w:eastAsia="fr-FR"/>
        </w:rPr>
        <w:drawing>
          <wp:inline distT="0" distB="0" distL="0" distR="0">
            <wp:extent cx="3816000" cy="3499362"/>
            <wp:effectExtent l="19050" t="0" r="0" b="0"/>
            <wp:docPr id="10"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srcRect/>
                    <a:stretch>
                      <a:fillRect/>
                    </a:stretch>
                  </pic:blipFill>
                  <pic:spPr bwMode="auto">
                    <a:xfrm>
                      <a:off x="0" y="0"/>
                      <a:ext cx="3816000" cy="3499362"/>
                    </a:xfrm>
                    <a:prstGeom prst="rect">
                      <a:avLst/>
                    </a:prstGeom>
                    <a:noFill/>
                    <a:ln w="9525">
                      <a:noFill/>
                      <a:miter lim="800000"/>
                      <a:headEnd/>
                      <a:tailEnd/>
                    </a:ln>
                  </pic:spPr>
                </pic:pic>
              </a:graphicData>
            </a:graphic>
          </wp:inline>
        </w:drawing>
      </w:r>
    </w:p>
    <w:p w:rsidR="002733D9" w:rsidRDefault="00E21832" w:rsidP="002733D9">
      <w:pPr>
        <w:tabs>
          <w:tab w:val="left" w:pos="1473"/>
        </w:tabs>
        <w:jc w:val="center"/>
        <w:rPr>
          <w:rFonts w:asciiTheme="majorBidi" w:hAnsiTheme="majorBidi" w:cstheme="majorBidi"/>
          <w:lang w:bidi="ar-DZ"/>
        </w:rPr>
      </w:pPr>
      <w:r w:rsidRPr="00C55D3E">
        <w:rPr>
          <w:rFonts w:asciiTheme="majorBidi" w:hAnsiTheme="majorBidi" w:cstheme="majorBidi"/>
          <w:b/>
          <w:bCs/>
        </w:rPr>
        <w:t>Figure</w:t>
      </w:r>
      <w:r w:rsidRPr="00C55D3E">
        <w:rPr>
          <w:rFonts w:ascii="Times New Roman" w:hAnsi="Times New Roman" w:cs="Times New Roman"/>
          <w:b/>
          <w:bCs/>
        </w:rPr>
        <w:t xml:space="preserve"> V</w:t>
      </w:r>
      <w:r w:rsidRPr="00C55D3E">
        <w:rPr>
          <w:rFonts w:asciiTheme="majorBidi" w:hAnsiTheme="majorBidi" w:cstheme="majorBidi"/>
          <w:b/>
          <w:bCs/>
        </w:rPr>
        <w:t xml:space="preserve"> </w:t>
      </w:r>
      <w:r w:rsidR="002733D9">
        <w:rPr>
          <w:rFonts w:asciiTheme="majorBidi" w:hAnsiTheme="majorBidi" w:cstheme="majorBidi"/>
          <w:b/>
          <w:bCs/>
        </w:rPr>
        <w:t>.22</w:t>
      </w:r>
      <w:r w:rsidRPr="00C55D3E">
        <w:rPr>
          <w:rFonts w:asciiTheme="majorBidi" w:hAnsiTheme="majorBidi" w:cstheme="majorBidi"/>
          <w:b/>
          <w:bCs/>
        </w:rPr>
        <w:t>:</w:t>
      </w:r>
      <w:r w:rsidR="002733D9">
        <w:rPr>
          <w:rFonts w:asciiTheme="majorBidi" w:hAnsiTheme="majorBidi" w:cstheme="majorBidi"/>
          <w:b/>
          <w:bCs/>
        </w:rPr>
        <w:t xml:space="preserve"> </w:t>
      </w:r>
      <w:r w:rsidR="003D7765" w:rsidRPr="00E840C1">
        <w:rPr>
          <w:rFonts w:asciiTheme="majorBidi" w:hAnsiTheme="majorBidi" w:cstheme="majorBidi"/>
          <w:sz w:val="24"/>
          <w:szCs w:val="24"/>
          <w:lang w:bidi="ar-DZ"/>
        </w:rPr>
        <w:t>Vue en plan du iso hauteur</w:t>
      </w:r>
    </w:p>
    <w:p w:rsidR="00CA76B0" w:rsidRPr="002733D9" w:rsidRDefault="002733D9" w:rsidP="002733D9">
      <w:pPr>
        <w:tabs>
          <w:tab w:val="left" w:pos="1473"/>
        </w:tabs>
        <w:jc w:val="center"/>
        <w:rPr>
          <w:rFonts w:asciiTheme="majorBidi" w:hAnsiTheme="majorBidi" w:cstheme="majorBidi"/>
          <w:lang w:bidi="ar-DZ"/>
        </w:rPr>
      </w:pPr>
      <w:r>
        <w:rPr>
          <w:rFonts w:asciiTheme="majorBidi" w:hAnsiTheme="majorBidi" w:cstheme="majorBidi"/>
          <w:b/>
          <w:bCs/>
          <w:noProof/>
          <w:sz w:val="24"/>
          <w:szCs w:val="24"/>
          <w:lang w:eastAsia="fr-FR"/>
        </w:rPr>
        <w:lastRenderedPageBreak/>
        <w:drawing>
          <wp:anchor distT="0" distB="0" distL="114300" distR="114300" simplePos="0" relativeHeight="251668480" behindDoc="0" locked="0" layoutInCell="1" allowOverlap="1">
            <wp:simplePos x="0" y="0"/>
            <wp:positionH relativeFrom="margin">
              <wp:posOffset>-167005</wp:posOffset>
            </wp:positionH>
            <wp:positionV relativeFrom="margin">
              <wp:posOffset>114935</wp:posOffset>
            </wp:positionV>
            <wp:extent cx="3238500" cy="3238500"/>
            <wp:effectExtent l="19050" t="0" r="0" b="0"/>
            <wp:wrapSquare wrapText="bothSides"/>
            <wp:docPr id="48" name="صورة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stretch>
                      <a:fillRect/>
                    </a:stretch>
                  </pic:blipFill>
                  <pic:spPr bwMode="auto">
                    <a:xfrm>
                      <a:off x="0" y="0"/>
                      <a:ext cx="3238500" cy="3238500"/>
                    </a:xfrm>
                    <a:prstGeom prst="rect">
                      <a:avLst/>
                    </a:prstGeom>
                    <a:noFill/>
                    <a:ln w="9525">
                      <a:noFill/>
                      <a:miter lim="800000"/>
                      <a:headEnd/>
                      <a:tailEnd/>
                    </a:ln>
                  </pic:spPr>
                </pic:pic>
              </a:graphicData>
            </a:graphic>
          </wp:anchor>
        </w:drawing>
      </w:r>
      <w:r>
        <w:rPr>
          <w:rFonts w:asciiTheme="majorBidi" w:hAnsiTheme="majorBidi" w:cstheme="majorBidi"/>
          <w:b/>
          <w:bCs/>
          <w:noProof/>
          <w:sz w:val="24"/>
          <w:szCs w:val="24"/>
          <w:lang w:eastAsia="fr-FR"/>
        </w:rPr>
        <w:drawing>
          <wp:anchor distT="0" distB="0" distL="114300" distR="114300" simplePos="0" relativeHeight="251667456" behindDoc="0" locked="0" layoutInCell="1" allowOverlap="1">
            <wp:simplePos x="0" y="0"/>
            <wp:positionH relativeFrom="margin">
              <wp:posOffset>2928620</wp:posOffset>
            </wp:positionH>
            <wp:positionV relativeFrom="margin">
              <wp:posOffset>133985</wp:posOffset>
            </wp:positionV>
            <wp:extent cx="3238500" cy="3219450"/>
            <wp:effectExtent l="19050" t="0" r="0" b="0"/>
            <wp:wrapSquare wrapText="bothSides"/>
            <wp:docPr id="47" name="صورة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srcRect/>
                    <a:stretch>
                      <a:fillRect/>
                    </a:stretch>
                  </pic:blipFill>
                  <pic:spPr bwMode="auto">
                    <a:xfrm>
                      <a:off x="0" y="0"/>
                      <a:ext cx="3238500" cy="3219450"/>
                    </a:xfrm>
                    <a:prstGeom prst="rect">
                      <a:avLst/>
                    </a:prstGeom>
                    <a:noFill/>
                    <a:ln w="9525">
                      <a:noFill/>
                      <a:miter lim="800000"/>
                      <a:headEnd/>
                      <a:tailEnd/>
                    </a:ln>
                  </pic:spPr>
                </pic:pic>
              </a:graphicData>
            </a:graphic>
          </wp:anchor>
        </w:drawing>
      </w:r>
    </w:p>
    <w:p w:rsidR="00CA76B0" w:rsidRPr="00CA76B0" w:rsidRDefault="00CA76B0" w:rsidP="00CA76B0">
      <w:pPr>
        <w:tabs>
          <w:tab w:val="left" w:pos="1275"/>
        </w:tabs>
        <w:spacing w:before="240" w:after="0"/>
        <w:rPr>
          <w:rFonts w:ascii="Times New Roman" w:hAnsi="Times New Roman" w:cs="Times New Roman"/>
        </w:rPr>
      </w:pPr>
      <w:r w:rsidRPr="007D4B69">
        <w:rPr>
          <w:rFonts w:ascii="Times New Roman" w:hAnsi="Times New Roman" w:cs="Times New Roman"/>
          <w:b/>
          <w:bCs/>
          <w:sz w:val="24"/>
          <w:szCs w:val="24"/>
        </w:rPr>
        <w:t>a.</w:t>
      </w:r>
      <w:r>
        <w:rPr>
          <w:rFonts w:ascii="Times New Roman" w:hAnsi="Times New Roman" w:cs="Times New Roman"/>
          <w:sz w:val="24"/>
          <w:szCs w:val="24"/>
        </w:rPr>
        <w:t xml:space="preserve"> </w:t>
      </w:r>
      <w:r w:rsidRPr="00C55D3E">
        <w:rPr>
          <w:rFonts w:asciiTheme="majorBidi" w:hAnsiTheme="majorBidi" w:cstheme="majorBidi"/>
        </w:rPr>
        <w:t>Résultat numérique</w:t>
      </w:r>
      <w:r>
        <w:rPr>
          <w:rFonts w:asciiTheme="majorBidi" w:hAnsiTheme="majorBidi" w:cstheme="majorBidi"/>
        </w:rPr>
        <w:t xml:space="preserve"> de modèle  </w:t>
      </w:r>
      <w:r>
        <w:rPr>
          <w:rFonts w:ascii="Times New Roman" w:hAnsi="Times New Roman" w:cs="Times New Roman"/>
          <w:sz w:val="24"/>
          <w:szCs w:val="24"/>
        </w:rPr>
        <w:t xml:space="preserve">                                            </w:t>
      </w:r>
      <w:r w:rsidRPr="007D4B69">
        <w:rPr>
          <w:rFonts w:ascii="Times New Roman" w:hAnsi="Times New Roman" w:cs="Times New Roman"/>
          <w:b/>
          <w:bCs/>
          <w:sz w:val="24"/>
          <w:szCs w:val="24"/>
        </w:rPr>
        <w:t>b</w:t>
      </w:r>
      <w:r>
        <w:rPr>
          <w:rFonts w:ascii="Times New Roman" w:hAnsi="Times New Roman" w:cs="Times New Roman"/>
          <w:sz w:val="24"/>
          <w:szCs w:val="24"/>
        </w:rPr>
        <w:t xml:space="preserve">. </w:t>
      </w:r>
      <w:r w:rsidRPr="00915ABE">
        <w:rPr>
          <w:rFonts w:ascii="Times New Roman" w:hAnsi="Times New Roman" w:cs="Times New Roman"/>
          <w:sz w:val="24"/>
          <w:szCs w:val="24"/>
        </w:rPr>
        <w:t>(Runge –Kutta- Gill méthode)</w:t>
      </w:r>
    </w:p>
    <w:p w:rsidR="00CA76B0" w:rsidRPr="00CA76B0" w:rsidRDefault="00E21832" w:rsidP="00CA76B0">
      <w:pPr>
        <w:tabs>
          <w:tab w:val="left" w:pos="3168"/>
        </w:tabs>
        <w:spacing w:before="240" w:after="0"/>
        <w:jc w:val="center"/>
        <w:rPr>
          <w:rFonts w:ascii="Times New Roman" w:hAnsi="Times New Roman" w:cs="Times New Roman"/>
        </w:rPr>
      </w:pPr>
      <w:r w:rsidRPr="00C55D3E">
        <w:rPr>
          <w:rFonts w:asciiTheme="majorBidi" w:hAnsiTheme="majorBidi" w:cstheme="majorBidi"/>
          <w:b/>
          <w:bCs/>
        </w:rPr>
        <w:t>Figure</w:t>
      </w:r>
      <w:r w:rsidRPr="00C55D3E">
        <w:rPr>
          <w:rFonts w:ascii="Times New Roman" w:hAnsi="Times New Roman" w:cs="Times New Roman"/>
          <w:b/>
          <w:bCs/>
        </w:rPr>
        <w:t xml:space="preserve"> V</w:t>
      </w:r>
      <w:r w:rsidRPr="00C55D3E">
        <w:rPr>
          <w:rFonts w:asciiTheme="majorBidi" w:hAnsiTheme="majorBidi" w:cstheme="majorBidi"/>
          <w:b/>
          <w:bCs/>
        </w:rPr>
        <w:t xml:space="preserve"> </w:t>
      </w:r>
      <w:r w:rsidR="002733D9">
        <w:rPr>
          <w:rFonts w:asciiTheme="majorBidi" w:hAnsiTheme="majorBidi" w:cstheme="majorBidi"/>
          <w:b/>
          <w:bCs/>
        </w:rPr>
        <w:t>.23</w:t>
      </w:r>
      <w:r w:rsidRPr="00C55D3E">
        <w:rPr>
          <w:rFonts w:asciiTheme="majorBidi" w:hAnsiTheme="majorBidi" w:cstheme="majorBidi"/>
          <w:b/>
          <w:bCs/>
        </w:rPr>
        <w:t>:</w:t>
      </w:r>
      <w:r w:rsidR="00E64EBD" w:rsidRPr="00E64EBD">
        <w:rPr>
          <w:rFonts w:asciiTheme="majorBidi" w:hAnsiTheme="majorBidi" w:cstheme="majorBidi"/>
          <w:sz w:val="24"/>
          <w:szCs w:val="24"/>
          <w:lang w:bidi="ar-DZ"/>
        </w:rPr>
        <w:t xml:space="preserve"> </w:t>
      </w:r>
      <w:r w:rsidR="00E64EBD">
        <w:rPr>
          <w:rFonts w:asciiTheme="majorBidi" w:hAnsiTheme="majorBidi" w:cstheme="majorBidi"/>
          <w:sz w:val="24"/>
          <w:szCs w:val="24"/>
          <w:lang w:bidi="ar-DZ"/>
        </w:rPr>
        <w:t>Hauteur d’eau au niveau de la paroi et au niveau de l’axe de l’aquifère.</w:t>
      </w:r>
    </w:p>
    <w:p w:rsidR="00151D47" w:rsidRDefault="00323C0F" w:rsidP="00151D47">
      <w:pPr>
        <w:tabs>
          <w:tab w:val="left" w:pos="3633"/>
        </w:tabs>
        <w:jc w:val="center"/>
        <w:rPr>
          <w:rFonts w:asciiTheme="majorBidi" w:hAnsiTheme="majorBidi" w:cstheme="majorBidi"/>
          <w:b/>
          <w:bCs/>
        </w:rPr>
      </w:pPr>
      <w:r>
        <w:rPr>
          <w:noProof/>
          <w:lang w:eastAsia="fr-FR"/>
        </w:rPr>
        <w:drawing>
          <wp:inline distT="0" distB="0" distL="0" distR="0">
            <wp:extent cx="5972148" cy="3971925"/>
            <wp:effectExtent l="19050" t="0" r="0" b="0"/>
            <wp:docPr id="22"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stretch>
                      <a:fillRect/>
                    </a:stretch>
                  </pic:blipFill>
                  <pic:spPr bwMode="auto">
                    <a:xfrm>
                      <a:off x="0" y="0"/>
                      <a:ext cx="5968280" cy="3969353"/>
                    </a:xfrm>
                    <a:prstGeom prst="rect">
                      <a:avLst/>
                    </a:prstGeom>
                    <a:noFill/>
                    <a:ln w="9525">
                      <a:noFill/>
                      <a:miter lim="800000"/>
                      <a:headEnd/>
                      <a:tailEnd/>
                    </a:ln>
                  </pic:spPr>
                </pic:pic>
              </a:graphicData>
            </a:graphic>
          </wp:inline>
        </w:drawing>
      </w:r>
      <w:r w:rsidR="001462E5">
        <w:rPr>
          <w:lang w:bidi="ar-DZ"/>
        </w:rPr>
        <w:br w:type="textWrapping" w:clear="all"/>
      </w:r>
      <w:r w:rsidR="00151D47" w:rsidRPr="00151D47">
        <w:rPr>
          <w:rFonts w:asciiTheme="majorBidi" w:hAnsiTheme="majorBidi" w:cstheme="majorBidi"/>
          <w:bCs/>
        </w:rPr>
        <w:t>temps (heure)</w:t>
      </w:r>
    </w:p>
    <w:p w:rsidR="009B5B67" w:rsidRPr="00151D47" w:rsidRDefault="00E21832" w:rsidP="00151D47">
      <w:pPr>
        <w:tabs>
          <w:tab w:val="left" w:pos="3633"/>
        </w:tabs>
        <w:jc w:val="center"/>
        <w:rPr>
          <w:rFonts w:asciiTheme="majorBidi" w:hAnsiTheme="majorBidi" w:cstheme="majorBidi"/>
          <w:b/>
          <w:bCs/>
        </w:rPr>
      </w:pPr>
      <w:r w:rsidRPr="00C55D3E">
        <w:rPr>
          <w:rFonts w:asciiTheme="majorBidi" w:hAnsiTheme="majorBidi" w:cstheme="majorBidi"/>
          <w:b/>
          <w:bCs/>
        </w:rPr>
        <w:t>Figure</w:t>
      </w:r>
      <w:r w:rsidRPr="00C55D3E">
        <w:rPr>
          <w:rFonts w:ascii="Times New Roman" w:hAnsi="Times New Roman" w:cs="Times New Roman"/>
          <w:b/>
          <w:bCs/>
        </w:rPr>
        <w:t xml:space="preserve"> V</w:t>
      </w:r>
      <w:r w:rsidRPr="00C55D3E">
        <w:rPr>
          <w:rFonts w:asciiTheme="majorBidi" w:hAnsiTheme="majorBidi" w:cstheme="majorBidi"/>
          <w:b/>
          <w:bCs/>
        </w:rPr>
        <w:t xml:space="preserve"> </w:t>
      </w:r>
      <w:r w:rsidR="00151D47">
        <w:rPr>
          <w:rFonts w:asciiTheme="majorBidi" w:hAnsiTheme="majorBidi" w:cstheme="majorBidi"/>
          <w:b/>
          <w:bCs/>
        </w:rPr>
        <w:t>.24</w:t>
      </w:r>
      <w:r w:rsidRPr="00C55D3E">
        <w:rPr>
          <w:rFonts w:asciiTheme="majorBidi" w:hAnsiTheme="majorBidi" w:cstheme="majorBidi"/>
          <w:b/>
          <w:bCs/>
        </w:rPr>
        <w:t>:</w:t>
      </w:r>
      <w:r w:rsidR="003D7765" w:rsidRPr="001462E5">
        <w:rPr>
          <w:rFonts w:asciiTheme="majorBidi" w:hAnsiTheme="majorBidi" w:cstheme="majorBidi"/>
          <w:b/>
          <w:bCs/>
          <w:i/>
          <w:iCs/>
          <w:lang w:bidi="ar-DZ"/>
        </w:rPr>
        <w:t xml:space="preserve"> </w:t>
      </w:r>
      <w:r w:rsidR="009B5B67" w:rsidRPr="001C0B95">
        <w:rPr>
          <w:rFonts w:ascii="Times New Roman" w:hAnsi="Times New Roman" w:cs="Times New Roman"/>
        </w:rPr>
        <w:t xml:space="preserve">l’évolution de la hauteur d’eau dans la </w:t>
      </w:r>
      <w:r w:rsidR="009B5B67">
        <w:rPr>
          <w:rFonts w:ascii="Times New Roman" w:hAnsi="Times New Roman" w:cs="Times New Roman"/>
        </w:rPr>
        <w:t xml:space="preserve">nappe </w:t>
      </w:r>
      <w:r w:rsidR="009B5B67" w:rsidRPr="001C0B95">
        <w:rPr>
          <w:rFonts w:ascii="Times New Roman" w:hAnsi="Times New Roman" w:cs="Times New Roman"/>
        </w:rPr>
        <w:t>en fonction du temps.</w:t>
      </w:r>
    </w:p>
    <w:p w:rsidR="00E64EBD" w:rsidRPr="00333EA7" w:rsidRDefault="00BC7A34" w:rsidP="00333EA7">
      <w:pPr>
        <w:autoSpaceDE w:val="0"/>
        <w:autoSpaceDN w:val="0"/>
        <w:adjustRightInd w:val="0"/>
        <w:spacing w:after="0" w:line="360" w:lineRule="auto"/>
        <w:rPr>
          <w:rFonts w:ascii="Times New Roman" w:hAnsi="Times New Roman" w:cs="Times New Roman"/>
          <w:b/>
          <w:bCs/>
          <w:sz w:val="28"/>
          <w:szCs w:val="28"/>
        </w:rPr>
      </w:pPr>
      <w:r w:rsidRPr="00361368">
        <w:rPr>
          <w:rFonts w:ascii="Times New Roman" w:hAnsi="Times New Roman" w:cs="Times New Roman"/>
          <w:b/>
          <w:bCs/>
          <w:sz w:val="28"/>
          <w:szCs w:val="28"/>
        </w:rPr>
        <w:lastRenderedPageBreak/>
        <w:t>V</w:t>
      </w:r>
      <w:r w:rsidRPr="00361368">
        <w:rPr>
          <w:rFonts w:asciiTheme="majorBidi" w:hAnsiTheme="majorBidi" w:cstheme="majorBidi"/>
          <w:b/>
          <w:bCs/>
          <w:sz w:val="28"/>
          <w:szCs w:val="28"/>
        </w:rPr>
        <w:t xml:space="preserve"> .2.</w:t>
      </w:r>
      <w:r>
        <w:rPr>
          <w:rFonts w:asciiTheme="majorBidi" w:hAnsiTheme="majorBidi" w:cstheme="majorBidi"/>
          <w:b/>
          <w:bCs/>
          <w:sz w:val="28"/>
          <w:szCs w:val="28"/>
        </w:rPr>
        <w:t>3.</w:t>
      </w:r>
      <w:r w:rsidR="00151D47">
        <w:rPr>
          <w:rFonts w:ascii="Times New Roman" w:hAnsi="Times New Roman" w:cs="Times New Roman"/>
          <w:b/>
          <w:bCs/>
          <w:sz w:val="28"/>
          <w:szCs w:val="28"/>
        </w:rPr>
        <w:t>R</w:t>
      </w:r>
      <w:r w:rsidR="00C756B7" w:rsidRPr="00803F50">
        <w:rPr>
          <w:rFonts w:ascii="Times New Roman" w:hAnsi="Times New Roman" w:cs="Times New Roman"/>
          <w:b/>
          <w:bCs/>
          <w:sz w:val="28"/>
          <w:szCs w:val="28"/>
        </w:rPr>
        <w:t>echarge artificielle des nappes à partir</w:t>
      </w:r>
      <w:r w:rsidR="009857BA" w:rsidRPr="00803F50">
        <w:rPr>
          <w:rFonts w:ascii="Times New Roman" w:hAnsi="Times New Roman" w:cs="Times New Roman"/>
          <w:b/>
          <w:bCs/>
          <w:sz w:val="28"/>
          <w:szCs w:val="28"/>
        </w:rPr>
        <w:t xml:space="preserve"> </w:t>
      </w:r>
      <w:r w:rsidR="00803F50" w:rsidRPr="00803F50">
        <w:rPr>
          <w:rFonts w:ascii="Times New Roman" w:hAnsi="Times New Roman" w:cs="Times New Roman"/>
          <w:b/>
          <w:bCs/>
          <w:sz w:val="28"/>
          <w:szCs w:val="28"/>
        </w:rPr>
        <w:t>d'un</w:t>
      </w:r>
      <w:r w:rsidR="009857BA" w:rsidRPr="00803F50">
        <w:rPr>
          <w:rFonts w:ascii="Times New Roman" w:hAnsi="Times New Roman" w:cs="Times New Roman"/>
          <w:b/>
          <w:bCs/>
          <w:sz w:val="28"/>
          <w:szCs w:val="28"/>
        </w:rPr>
        <w:t xml:space="preserve"> barrage</w:t>
      </w:r>
      <w:r w:rsidR="00C756B7" w:rsidRPr="00C756B7">
        <w:rPr>
          <w:rFonts w:ascii="Times New Roman" w:hAnsi="Times New Roman" w:cs="Times New Roman"/>
          <w:b/>
          <w:bCs/>
          <w:sz w:val="28"/>
          <w:szCs w:val="28"/>
        </w:rPr>
        <w:t>:</w:t>
      </w:r>
    </w:p>
    <w:p w:rsidR="001A058F" w:rsidRPr="00333EA7" w:rsidRDefault="00E64EBD" w:rsidP="00721D6E">
      <w:pPr>
        <w:rPr>
          <w:rFonts w:asciiTheme="majorBidi" w:hAnsiTheme="majorBidi" w:cstheme="majorBidi"/>
          <w:sz w:val="24"/>
          <w:szCs w:val="24"/>
        </w:rPr>
      </w:pPr>
      <w:r w:rsidRPr="00333EA7">
        <w:rPr>
          <w:rFonts w:ascii="Times New Roman" w:hAnsi="Times New Roman" w:cs="Times New Roman"/>
          <w:noProof/>
          <w:sz w:val="24"/>
          <w:szCs w:val="24"/>
        </w:rPr>
        <w:t xml:space="preserve">On suppose que le contur et le substratum de la nappe sont </w:t>
      </w:r>
      <w:r w:rsidR="001A058F" w:rsidRPr="00333EA7">
        <w:rPr>
          <w:rFonts w:ascii="Times New Roman" w:hAnsi="Times New Roman" w:cs="Times New Roman"/>
          <w:noProof/>
          <w:sz w:val="24"/>
          <w:szCs w:val="24"/>
        </w:rPr>
        <w:t>imperméaples. Les dimention de la nappe et la position du barrage sont montrés sur la figure (V.25),</w:t>
      </w:r>
      <w:r w:rsidR="001A058F" w:rsidRPr="00333EA7">
        <w:rPr>
          <w:rFonts w:asciiTheme="majorBidi" w:hAnsiTheme="majorBidi" w:cstheme="majorBidi"/>
          <w:sz w:val="24"/>
          <w:szCs w:val="24"/>
        </w:rPr>
        <w:t xml:space="preserve"> L'hauteur d'eau dans le barrage 50m et la hauteur initiale de la nappe à 20 m,  les mesures du niveau d’eau dans la nappe sont</w:t>
      </w:r>
    </w:p>
    <w:p w:rsidR="00E64EBD" w:rsidRPr="00333EA7" w:rsidRDefault="001A058F" w:rsidP="00721D6E">
      <w:pPr>
        <w:rPr>
          <w:rFonts w:ascii="Times New Roman" w:hAnsi="Times New Roman" w:cs="Times New Roman"/>
        </w:rPr>
      </w:pPr>
      <w:r w:rsidRPr="00333EA7">
        <w:rPr>
          <w:rFonts w:asciiTheme="majorBidi" w:hAnsiTheme="majorBidi" w:cstheme="majorBidi"/>
          <w:sz w:val="24"/>
          <w:szCs w:val="24"/>
        </w:rPr>
        <w:t xml:space="preserve">Effectuées aux nœuds </w:t>
      </w:r>
      <w:r w:rsidRPr="00333EA7">
        <w:rPr>
          <w:rFonts w:ascii="Times New Roman" w:hAnsi="Times New Roman" w:cs="Times New Roman"/>
        </w:rPr>
        <w:t>M1(175.25),  M2(175.50),  M3(175.75),  M4(175.100) et M5(175.200)</w:t>
      </w:r>
      <w:r w:rsidR="00333EA7" w:rsidRPr="00333EA7">
        <w:rPr>
          <w:rFonts w:ascii="Times New Roman" w:hAnsi="Times New Roman" w:cs="Times New Roman"/>
        </w:rPr>
        <w:t>.</w:t>
      </w:r>
      <w:r w:rsidRPr="00333EA7">
        <w:rPr>
          <w:rFonts w:asciiTheme="majorBidi" w:hAnsiTheme="majorBidi" w:cstheme="majorBidi"/>
          <w:lang w:val="fr-CA"/>
        </w:rPr>
        <w:t xml:space="preserve"> </w:t>
      </w:r>
    </w:p>
    <w:p w:rsidR="00556D41" w:rsidRPr="00681226" w:rsidRDefault="00556D41" w:rsidP="00556D41">
      <w:pPr>
        <w:rPr>
          <w:rFonts w:ascii="Times New Roman" w:hAnsi="Times New Roman" w:cs="Times New Roman"/>
          <w:noProof/>
          <w:sz w:val="24"/>
          <w:szCs w:val="24"/>
        </w:rPr>
      </w:pPr>
      <w:r w:rsidRPr="00556D41">
        <w:rPr>
          <w:rFonts w:ascii="Times New Roman" w:hAnsi="Times New Roman" w:cs="Times New Roman"/>
          <w:noProof/>
          <w:sz w:val="24"/>
          <w:szCs w:val="24"/>
          <w:lang w:eastAsia="fr-FR"/>
        </w:rPr>
        <w:drawing>
          <wp:inline distT="0" distB="0" distL="0" distR="0">
            <wp:extent cx="5353050" cy="2990850"/>
            <wp:effectExtent l="0" t="0" r="0" b="0"/>
            <wp:docPr id="4" name="كائن 3"/>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5629888" cy="5227116"/>
                      <a:chOff x="97263" y="928670"/>
                      <a:chExt cx="5629888" cy="5227116"/>
                    </a:xfrm>
                  </a:grpSpPr>
                  <a:pic>
                    <a:nvPicPr>
                      <a:cNvPr id="1026" name="Picture 2"/>
                      <a:cNvPicPr>
                        <a:picLocks noChangeAspect="1" noChangeArrowheads="1"/>
                      </a:cNvPicPr>
                    </a:nvPicPr>
                    <a:blipFill>
                      <a:blip r:embed="rId24"/>
                      <a:srcRect/>
                      <a:stretch>
                        <a:fillRect/>
                      </a:stretch>
                    </a:blipFill>
                    <a:spPr bwMode="auto">
                      <a:xfrm>
                        <a:off x="1500167" y="1285860"/>
                        <a:ext cx="3786214" cy="4214842"/>
                      </a:xfrm>
                      <a:prstGeom prst="rect">
                        <a:avLst/>
                      </a:prstGeom>
                      <a:noFill/>
                      <a:ln w="9525">
                        <a:noFill/>
                        <a:miter lim="800000"/>
                        <a:headEnd/>
                        <a:tailEnd/>
                      </a:ln>
                      <a:effectLst/>
                    </a:spPr>
                  </a:pic>
                  <a:sp>
                    <a:nvSpPr>
                      <a:cNvPr id="9" name="مستطيل 8"/>
                      <a:cNvSpPr/>
                    </a:nvSpPr>
                    <a:spPr>
                      <a:xfrm>
                        <a:off x="97263" y="2143116"/>
                        <a:ext cx="829073" cy="369332"/>
                      </a:xfrm>
                      <a:prstGeom prst="rect">
                        <a:avLst/>
                      </a:prstGeom>
                    </a:spPr>
                    <a:txSp>
                      <a:txBody>
                        <a:bodyPr wrap="none">
                          <a:spAutoFit/>
                        </a:bodyPr>
                        <a:lstStyle>
                          <a:defPPr>
                            <a:defRPr lang="ar-SA"/>
                          </a:defPPr>
                          <a:lvl1pPr marL="0" algn="r" defTabSz="914400" rtl="1" eaLnBrk="1" latinLnBrk="0" hangingPunct="1">
                            <a:defRPr sz="1800" kern="1200">
                              <a:solidFill>
                                <a:schemeClr val="tx1"/>
                              </a:solidFill>
                              <a:latin typeface="+mn-lt"/>
                              <a:ea typeface="+mn-ea"/>
                              <a:cs typeface="+mn-cs"/>
                            </a:defRPr>
                          </a:lvl1pPr>
                          <a:lvl2pPr marL="457200" algn="r" defTabSz="914400" rtl="1" eaLnBrk="1" latinLnBrk="0" hangingPunct="1">
                            <a:defRPr sz="1800" kern="1200">
                              <a:solidFill>
                                <a:schemeClr val="tx1"/>
                              </a:solidFill>
                              <a:latin typeface="+mn-lt"/>
                              <a:ea typeface="+mn-ea"/>
                              <a:cs typeface="+mn-cs"/>
                            </a:defRPr>
                          </a:lvl2pPr>
                          <a:lvl3pPr marL="914400" algn="r" defTabSz="914400" rtl="1" eaLnBrk="1" latinLnBrk="0" hangingPunct="1">
                            <a:defRPr sz="1800" kern="1200">
                              <a:solidFill>
                                <a:schemeClr val="tx1"/>
                              </a:solidFill>
                              <a:latin typeface="+mn-lt"/>
                              <a:ea typeface="+mn-ea"/>
                              <a:cs typeface="+mn-cs"/>
                            </a:defRPr>
                          </a:lvl3pPr>
                          <a:lvl4pPr marL="1371600" algn="r" defTabSz="914400" rtl="1" eaLnBrk="1" latinLnBrk="0" hangingPunct="1">
                            <a:defRPr sz="1800" kern="1200">
                              <a:solidFill>
                                <a:schemeClr val="tx1"/>
                              </a:solidFill>
                              <a:latin typeface="+mn-lt"/>
                              <a:ea typeface="+mn-ea"/>
                              <a:cs typeface="+mn-cs"/>
                            </a:defRPr>
                          </a:lvl4pPr>
                          <a:lvl5pPr marL="1828800" algn="r" defTabSz="914400" rtl="1" eaLnBrk="1" latinLnBrk="0" hangingPunct="1">
                            <a:defRPr sz="1800" kern="1200">
                              <a:solidFill>
                                <a:schemeClr val="tx1"/>
                              </a:solidFill>
                              <a:latin typeface="+mn-lt"/>
                              <a:ea typeface="+mn-ea"/>
                              <a:cs typeface="+mn-cs"/>
                            </a:defRPr>
                          </a:lvl5pPr>
                          <a:lvl6pPr marL="2286000" algn="r" defTabSz="914400" rtl="1" eaLnBrk="1" latinLnBrk="0" hangingPunct="1">
                            <a:defRPr sz="1800" kern="1200">
                              <a:solidFill>
                                <a:schemeClr val="tx1"/>
                              </a:solidFill>
                              <a:latin typeface="+mn-lt"/>
                              <a:ea typeface="+mn-ea"/>
                              <a:cs typeface="+mn-cs"/>
                            </a:defRPr>
                          </a:lvl6pPr>
                          <a:lvl7pPr marL="2743200" algn="r" defTabSz="914400" rtl="1" eaLnBrk="1" latinLnBrk="0" hangingPunct="1">
                            <a:defRPr sz="1800" kern="1200">
                              <a:solidFill>
                                <a:schemeClr val="tx1"/>
                              </a:solidFill>
                              <a:latin typeface="+mn-lt"/>
                              <a:ea typeface="+mn-ea"/>
                              <a:cs typeface="+mn-cs"/>
                            </a:defRPr>
                          </a:lvl7pPr>
                          <a:lvl8pPr marL="3200400" algn="r" defTabSz="914400" rtl="1" eaLnBrk="1" latinLnBrk="0" hangingPunct="1">
                            <a:defRPr sz="1800" kern="1200">
                              <a:solidFill>
                                <a:schemeClr val="tx1"/>
                              </a:solidFill>
                              <a:latin typeface="+mn-lt"/>
                              <a:ea typeface="+mn-ea"/>
                              <a:cs typeface="+mn-cs"/>
                            </a:defRPr>
                          </a:lvl8pPr>
                          <a:lvl9pPr marL="3657600" algn="r" defTabSz="914400" rtl="1" eaLnBrk="1" latinLnBrk="0" hangingPunct="1">
                            <a:defRPr sz="1800" kern="1200">
                              <a:solidFill>
                                <a:schemeClr val="tx1"/>
                              </a:solidFill>
                              <a:latin typeface="+mn-lt"/>
                              <a:ea typeface="+mn-ea"/>
                              <a:cs typeface="+mn-cs"/>
                            </a:defRPr>
                          </a:lvl9pPr>
                        </a:lstStyle>
                        <a:p>
                          <a:r>
                            <a:rPr lang="en-US" b="1" dirty="0" smtClean="0"/>
                            <a:t>150  m</a:t>
                          </a:r>
                          <a:endParaRPr lang="ar-SA" dirty="0"/>
                        </a:p>
                      </a:txBody>
                      <a:useSpRect/>
                    </a:txSp>
                  </a:sp>
                  <a:sp>
                    <a:nvSpPr>
                      <a:cNvPr id="10" name="مستطيل 9"/>
                      <a:cNvSpPr/>
                    </a:nvSpPr>
                    <a:spPr>
                      <a:xfrm>
                        <a:off x="214282" y="3214686"/>
                        <a:ext cx="870751" cy="369332"/>
                      </a:xfrm>
                      <a:prstGeom prst="rect">
                        <a:avLst/>
                      </a:prstGeom>
                    </a:spPr>
                    <a:txSp>
                      <a:txBody>
                        <a:bodyPr wrap="none">
                          <a:spAutoFit/>
                        </a:bodyPr>
                        <a:lstStyle>
                          <a:defPPr>
                            <a:defRPr lang="ar-SA"/>
                          </a:defPPr>
                          <a:lvl1pPr marL="0" algn="r" defTabSz="914400" rtl="1" eaLnBrk="1" latinLnBrk="0" hangingPunct="1">
                            <a:defRPr sz="1800" kern="1200">
                              <a:solidFill>
                                <a:schemeClr val="tx1"/>
                              </a:solidFill>
                              <a:latin typeface="+mn-lt"/>
                              <a:ea typeface="+mn-ea"/>
                              <a:cs typeface="+mn-cs"/>
                            </a:defRPr>
                          </a:lvl1pPr>
                          <a:lvl2pPr marL="457200" algn="r" defTabSz="914400" rtl="1" eaLnBrk="1" latinLnBrk="0" hangingPunct="1">
                            <a:defRPr sz="1800" kern="1200">
                              <a:solidFill>
                                <a:schemeClr val="tx1"/>
                              </a:solidFill>
                              <a:latin typeface="+mn-lt"/>
                              <a:ea typeface="+mn-ea"/>
                              <a:cs typeface="+mn-cs"/>
                            </a:defRPr>
                          </a:lvl2pPr>
                          <a:lvl3pPr marL="914400" algn="r" defTabSz="914400" rtl="1" eaLnBrk="1" latinLnBrk="0" hangingPunct="1">
                            <a:defRPr sz="1800" kern="1200">
                              <a:solidFill>
                                <a:schemeClr val="tx1"/>
                              </a:solidFill>
                              <a:latin typeface="+mn-lt"/>
                              <a:ea typeface="+mn-ea"/>
                              <a:cs typeface="+mn-cs"/>
                            </a:defRPr>
                          </a:lvl3pPr>
                          <a:lvl4pPr marL="1371600" algn="r" defTabSz="914400" rtl="1" eaLnBrk="1" latinLnBrk="0" hangingPunct="1">
                            <a:defRPr sz="1800" kern="1200">
                              <a:solidFill>
                                <a:schemeClr val="tx1"/>
                              </a:solidFill>
                              <a:latin typeface="+mn-lt"/>
                              <a:ea typeface="+mn-ea"/>
                              <a:cs typeface="+mn-cs"/>
                            </a:defRPr>
                          </a:lvl4pPr>
                          <a:lvl5pPr marL="1828800" algn="r" defTabSz="914400" rtl="1" eaLnBrk="1" latinLnBrk="0" hangingPunct="1">
                            <a:defRPr sz="1800" kern="1200">
                              <a:solidFill>
                                <a:schemeClr val="tx1"/>
                              </a:solidFill>
                              <a:latin typeface="+mn-lt"/>
                              <a:ea typeface="+mn-ea"/>
                              <a:cs typeface="+mn-cs"/>
                            </a:defRPr>
                          </a:lvl5pPr>
                          <a:lvl6pPr marL="2286000" algn="r" defTabSz="914400" rtl="1" eaLnBrk="1" latinLnBrk="0" hangingPunct="1">
                            <a:defRPr sz="1800" kern="1200">
                              <a:solidFill>
                                <a:schemeClr val="tx1"/>
                              </a:solidFill>
                              <a:latin typeface="+mn-lt"/>
                              <a:ea typeface="+mn-ea"/>
                              <a:cs typeface="+mn-cs"/>
                            </a:defRPr>
                          </a:lvl6pPr>
                          <a:lvl7pPr marL="2743200" algn="r" defTabSz="914400" rtl="1" eaLnBrk="1" latinLnBrk="0" hangingPunct="1">
                            <a:defRPr sz="1800" kern="1200">
                              <a:solidFill>
                                <a:schemeClr val="tx1"/>
                              </a:solidFill>
                              <a:latin typeface="+mn-lt"/>
                              <a:ea typeface="+mn-ea"/>
                              <a:cs typeface="+mn-cs"/>
                            </a:defRPr>
                          </a:lvl7pPr>
                          <a:lvl8pPr marL="3200400" algn="r" defTabSz="914400" rtl="1" eaLnBrk="1" latinLnBrk="0" hangingPunct="1">
                            <a:defRPr sz="1800" kern="1200">
                              <a:solidFill>
                                <a:schemeClr val="tx1"/>
                              </a:solidFill>
                              <a:latin typeface="+mn-lt"/>
                              <a:ea typeface="+mn-ea"/>
                              <a:cs typeface="+mn-cs"/>
                            </a:defRPr>
                          </a:lvl8pPr>
                          <a:lvl9pPr marL="3657600" algn="r" defTabSz="914400" rtl="1" eaLnBrk="1" latinLnBrk="0" hangingPunct="1">
                            <a:defRPr sz="1800" kern="1200">
                              <a:solidFill>
                                <a:schemeClr val="tx1"/>
                              </a:solidFill>
                              <a:latin typeface="+mn-lt"/>
                              <a:ea typeface="+mn-ea"/>
                              <a:cs typeface="+mn-cs"/>
                            </a:defRPr>
                          </a:lvl9pPr>
                        </a:lstStyle>
                        <a:p>
                          <a:r>
                            <a:rPr lang="fr-FR" b="1" dirty="0" smtClean="0"/>
                            <a:t>50  m   </a:t>
                          </a:r>
                          <a:endParaRPr lang="ar-SA" dirty="0"/>
                        </a:p>
                      </a:txBody>
                      <a:useSpRect/>
                    </a:txSp>
                  </a:sp>
                  <a:sp>
                    <a:nvSpPr>
                      <a:cNvPr id="11" name="مستطيل 10"/>
                      <a:cNvSpPr/>
                    </a:nvSpPr>
                    <a:spPr>
                      <a:xfrm>
                        <a:off x="142844" y="4572008"/>
                        <a:ext cx="829073" cy="369332"/>
                      </a:xfrm>
                      <a:prstGeom prst="rect">
                        <a:avLst/>
                      </a:prstGeom>
                    </a:spPr>
                    <a:txSp>
                      <a:txBody>
                        <a:bodyPr wrap="none">
                          <a:spAutoFit/>
                        </a:bodyPr>
                        <a:lstStyle>
                          <a:defPPr>
                            <a:defRPr lang="ar-SA"/>
                          </a:defPPr>
                          <a:lvl1pPr marL="0" algn="r" defTabSz="914400" rtl="1" eaLnBrk="1" latinLnBrk="0" hangingPunct="1">
                            <a:defRPr sz="1800" kern="1200">
                              <a:solidFill>
                                <a:schemeClr val="tx1"/>
                              </a:solidFill>
                              <a:latin typeface="+mn-lt"/>
                              <a:ea typeface="+mn-ea"/>
                              <a:cs typeface="+mn-cs"/>
                            </a:defRPr>
                          </a:lvl1pPr>
                          <a:lvl2pPr marL="457200" algn="r" defTabSz="914400" rtl="1" eaLnBrk="1" latinLnBrk="0" hangingPunct="1">
                            <a:defRPr sz="1800" kern="1200">
                              <a:solidFill>
                                <a:schemeClr val="tx1"/>
                              </a:solidFill>
                              <a:latin typeface="+mn-lt"/>
                              <a:ea typeface="+mn-ea"/>
                              <a:cs typeface="+mn-cs"/>
                            </a:defRPr>
                          </a:lvl2pPr>
                          <a:lvl3pPr marL="914400" algn="r" defTabSz="914400" rtl="1" eaLnBrk="1" latinLnBrk="0" hangingPunct="1">
                            <a:defRPr sz="1800" kern="1200">
                              <a:solidFill>
                                <a:schemeClr val="tx1"/>
                              </a:solidFill>
                              <a:latin typeface="+mn-lt"/>
                              <a:ea typeface="+mn-ea"/>
                              <a:cs typeface="+mn-cs"/>
                            </a:defRPr>
                          </a:lvl3pPr>
                          <a:lvl4pPr marL="1371600" algn="r" defTabSz="914400" rtl="1" eaLnBrk="1" latinLnBrk="0" hangingPunct="1">
                            <a:defRPr sz="1800" kern="1200">
                              <a:solidFill>
                                <a:schemeClr val="tx1"/>
                              </a:solidFill>
                              <a:latin typeface="+mn-lt"/>
                              <a:ea typeface="+mn-ea"/>
                              <a:cs typeface="+mn-cs"/>
                            </a:defRPr>
                          </a:lvl4pPr>
                          <a:lvl5pPr marL="1828800" algn="r" defTabSz="914400" rtl="1" eaLnBrk="1" latinLnBrk="0" hangingPunct="1">
                            <a:defRPr sz="1800" kern="1200">
                              <a:solidFill>
                                <a:schemeClr val="tx1"/>
                              </a:solidFill>
                              <a:latin typeface="+mn-lt"/>
                              <a:ea typeface="+mn-ea"/>
                              <a:cs typeface="+mn-cs"/>
                            </a:defRPr>
                          </a:lvl5pPr>
                          <a:lvl6pPr marL="2286000" algn="r" defTabSz="914400" rtl="1" eaLnBrk="1" latinLnBrk="0" hangingPunct="1">
                            <a:defRPr sz="1800" kern="1200">
                              <a:solidFill>
                                <a:schemeClr val="tx1"/>
                              </a:solidFill>
                              <a:latin typeface="+mn-lt"/>
                              <a:ea typeface="+mn-ea"/>
                              <a:cs typeface="+mn-cs"/>
                            </a:defRPr>
                          </a:lvl6pPr>
                          <a:lvl7pPr marL="2743200" algn="r" defTabSz="914400" rtl="1" eaLnBrk="1" latinLnBrk="0" hangingPunct="1">
                            <a:defRPr sz="1800" kern="1200">
                              <a:solidFill>
                                <a:schemeClr val="tx1"/>
                              </a:solidFill>
                              <a:latin typeface="+mn-lt"/>
                              <a:ea typeface="+mn-ea"/>
                              <a:cs typeface="+mn-cs"/>
                            </a:defRPr>
                          </a:lvl7pPr>
                          <a:lvl8pPr marL="3200400" algn="r" defTabSz="914400" rtl="1" eaLnBrk="1" latinLnBrk="0" hangingPunct="1">
                            <a:defRPr sz="1800" kern="1200">
                              <a:solidFill>
                                <a:schemeClr val="tx1"/>
                              </a:solidFill>
                              <a:latin typeface="+mn-lt"/>
                              <a:ea typeface="+mn-ea"/>
                              <a:cs typeface="+mn-cs"/>
                            </a:defRPr>
                          </a:lvl8pPr>
                          <a:lvl9pPr marL="3657600" algn="r" defTabSz="914400" rtl="1" eaLnBrk="1" latinLnBrk="0" hangingPunct="1">
                            <a:defRPr sz="1800" kern="1200">
                              <a:solidFill>
                                <a:schemeClr val="tx1"/>
                              </a:solidFill>
                              <a:latin typeface="+mn-lt"/>
                              <a:ea typeface="+mn-ea"/>
                              <a:cs typeface="+mn-cs"/>
                            </a:defRPr>
                          </a:lvl9pPr>
                        </a:lstStyle>
                        <a:p>
                          <a:r>
                            <a:rPr lang="fr-FR" b="1" dirty="0" smtClean="0"/>
                            <a:t>150  m</a:t>
                          </a:r>
                          <a:endParaRPr lang="ar-SA" dirty="0"/>
                        </a:p>
                      </a:txBody>
                      <a:useSpRect/>
                    </a:txSp>
                  </a:sp>
                  <a:sp>
                    <a:nvSpPr>
                      <a:cNvPr id="12" name="مستطيل 11"/>
                      <a:cNvSpPr/>
                    </a:nvSpPr>
                    <a:spPr>
                      <a:xfrm>
                        <a:off x="2643174" y="5786454"/>
                        <a:ext cx="829073" cy="369332"/>
                      </a:xfrm>
                      <a:prstGeom prst="rect">
                        <a:avLst/>
                      </a:prstGeom>
                    </a:spPr>
                    <a:txSp>
                      <a:txBody>
                        <a:bodyPr wrap="none">
                          <a:spAutoFit/>
                        </a:bodyPr>
                        <a:lstStyle>
                          <a:defPPr>
                            <a:defRPr lang="ar-SA"/>
                          </a:defPPr>
                          <a:lvl1pPr marL="0" algn="r" defTabSz="914400" rtl="1" eaLnBrk="1" latinLnBrk="0" hangingPunct="1">
                            <a:defRPr sz="1800" kern="1200">
                              <a:solidFill>
                                <a:schemeClr val="tx1"/>
                              </a:solidFill>
                              <a:latin typeface="+mn-lt"/>
                              <a:ea typeface="+mn-ea"/>
                              <a:cs typeface="+mn-cs"/>
                            </a:defRPr>
                          </a:lvl1pPr>
                          <a:lvl2pPr marL="457200" algn="r" defTabSz="914400" rtl="1" eaLnBrk="1" latinLnBrk="0" hangingPunct="1">
                            <a:defRPr sz="1800" kern="1200">
                              <a:solidFill>
                                <a:schemeClr val="tx1"/>
                              </a:solidFill>
                              <a:latin typeface="+mn-lt"/>
                              <a:ea typeface="+mn-ea"/>
                              <a:cs typeface="+mn-cs"/>
                            </a:defRPr>
                          </a:lvl2pPr>
                          <a:lvl3pPr marL="914400" algn="r" defTabSz="914400" rtl="1" eaLnBrk="1" latinLnBrk="0" hangingPunct="1">
                            <a:defRPr sz="1800" kern="1200">
                              <a:solidFill>
                                <a:schemeClr val="tx1"/>
                              </a:solidFill>
                              <a:latin typeface="+mn-lt"/>
                              <a:ea typeface="+mn-ea"/>
                              <a:cs typeface="+mn-cs"/>
                            </a:defRPr>
                          </a:lvl3pPr>
                          <a:lvl4pPr marL="1371600" algn="r" defTabSz="914400" rtl="1" eaLnBrk="1" latinLnBrk="0" hangingPunct="1">
                            <a:defRPr sz="1800" kern="1200">
                              <a:solidFill>
                                <a:schemeClr val="tx1"/>
                              </a:solidFill>
                              <a:latin typeface="+mn-lt"/>
                              <a:ea typeface="+mn-ea"/>
                              <a:cs typeface="+mn-cs"/>
                            </a:defRPr>
                          </a:lvl4pPr>
                          <a:lvl5pPr marL="1828800" algn="r" defTabSz="914400" rtl="1" eaLnBrk="1" latinLnBrk="0" hangingPunct="1">
                            <a:defRPr sz="1800" kern="1200">
                              <a:solidFill>
                                <a:schemeClr val="tx1"/>
                              </a:solidFill>
                              <a:latin typeface="+mn-lt"/>
                              <a:ea typeface="+mn-ea"/>
                              <a:cs typeface="+mn-cs"/>
                            </a:defRPr>
                          </a:lvl5pPr>
                          <a:lvl6pPr marL="2286000" algn="r" defTabSz="914400" rtl="1" eaLnBrk="1" latinLnBrk="0" hangingPunct="1">
                            <a:defRPr sz="1800" kern="1200">
                              <a:solidFill>
                                <a:schemeClr val="tx1"/>
                              </a:solidFill>
                              <a:latin typeface="+mn-lt"/>
                              <a:ea typeface="+mn-ea"/>
                              <a:cs typeface="+mn-cs"/>
                            </a:defRPr>
                          </a:lvl6pPr>
                          <a:lvl7pPr marL="2743200" algn="r" defTabSz="914400" rtl="1" eaLnBrk="1" latinLnBrk="0" hangingPunct="1">
                            <a:defRPr sz="1800" kern="1200">
                              <a:solidFill>
                                <a:schemeClr val="tx1"/>
                              </a:solidFill>
                              <a:latin typeface="+mn-lt"/>
                              <a:ea typeface="+mn-ea"/>
                              <a:cs typeface="+mn-cs"/>
                            </a:defRPr>
                          </a:lvl7pPr>
                          <a:lvl8pPr marL="3200400" algn="r" defTabSz="914400" rtl="1" eaLnBrk="1" latinLnBrk="0" hangingPunct="1">
                            <a:defRPr sz="1800" kern="1200">
                              <a:solidFill>
                                <a:schemeClr val="tx1"/>
                              </a:solidFill>
                              <a:latin typeface="+mn-lt"/>
                              <a:ea typeface="+mn-ea"/>
                              <a:cs typeface="+mn-cs"/>
                            </a:defRPr>
                          </a:lvl8pPr>
                          <a:lvl9pPr marL="3657600" algn="r" defTabSz="914400" rtl="1" eaLnBrk="1" latinLnBrk="0" hangingPunct="1">
                            <a:defRPr sz="1800" kern="1200">
                              <a:solidFill>
                                <a:schemeClr val="tx1"/>
                              </a:solidFill>
                              <a:latin typeface="+mn-lt"/>
                              <a:ea typeface="+mn-ea"/>
                              <a:cs typeface="+mn-cs"/>
                            </a:defRPr>
                          </a:lvl9pPr>
                        </a:lstStyle>
                        <a:p>
                          <a:pPr algn="l"/>
                          <a:r>
                            <a:rPr lang="fr-FR" b="1" dirty="0" smtClean="0"/>
                            <a:t>2</a:t>
                          </a:r>
                          <a:r>
                            <a:rPr lang="fr-FR" b="1" dirty="0" smtClean="0"/>
                            <a:t>00  </a:t>
                          </a:r>
                          <a:r>
                            <a:rPr lang="fr-FR" b="1" dirty="0" smtClean="0"/>
                            <a:t>m</a:t>
                          </a:r>
                          <a:endParaRPr lang="ar-SA" dirty="0"/>
                        </a:p>
                      </a:txBody>
                      <a:useSpRect/>
                    </a:txSp>
                  </a:sp>
                  <a:sp>
                    <a:nvSpPr>
                      <a:cNvPr id="28" name="مستطيل 27"/>
                      <a:cNvSpPr/>
                    </a:nvSpPr>
                    <a:spPr>
                      <a:xfrm>
                        <a:off x="2500298" y="928670"/>
                        <a:ext cx="1439817" cy="369332"/>
                      </a:xfrm>
                      <a:prstGeom prst="rect">
                        <a:avLst/>
                      </a:prstGeom>
                    </a:spPr>
                    <a:txSp>
                      <a:txBody>
                        <a:bodyPr wrap="none">
                          <a:spAutoFit/>
                        </a:bodyPr>
                        <a:lstStyle>
                          <a:defPPr>
                            <a:defRPr lang="ar-SA"/>
                          </a:defPPr>
                          <a:lvl1pPr marL="0" algn="r" defTabSz="914400" rtl="1" eaLnBrk="1" latinLnBrk="0" hangingPunct="1">
                            <a:defRPr sz="1800" kern="1200">
                              <a:solidFill>
                                <a:schemeClr val="tx1"/>
                              </a:solidFill>
                              <a:latin typeface="+mn-lt"/>
                              <a:ea typeface="+mn-ea"/>
                              <a:cs typeface="+mn-cs"/>
                            </a:defRPr>
                          </a:lvl1pPr>
                          <a:lvl2pPr marL="457200" algn="r" defTabSz="914400" rtl="1" eaLnBrk="1" latinLnBrk="0" hangingPunct="1">
                            <a:defRPr sz="1800" kern="1200">
                              <a:solidFill>
                                <a:schemeClr val="tx1"/>
                              </a:solidFill>
                              <a:latin typeface="+mn-lt"/>
                              <a:ea typeface="+mn-ea"/>
                              <a:cs typeface="+mn-cs"/>
                            </a:defRPr>
                          </a:lvl2pPr>
                          <a:lvl3pPr marL="914400" algn="r" defTabSz="914400" rtl="1" eaLnBrk="1" latinLnBrk="0" hangingPunct="1">
                            <a:defRPr sz="1800" kern="1200">
                              <a:solidFill>
                                <a:schemeClr val="tx1"/>
                              </a:solidFill>
                              <a:latin typeface="+mn-lt"/>
                              <a:ea typeface="+mn-ea"/>
                              <a:cs typeface="+mn-cs"/>
                            </a:defRPr>
                          </a:lvl3pPr>
                          <a:lvl4pPr marL="1371600" algn="r" defTabSz="914400" rtl="1" eaLnBrk="1" latinLnBrk="0" hangingPunct="1">
                            <a:defRPr sz="1800" kern="1200">
                              <a:solidFill>
                                <a:schemeClr val="tx1"/>
                              </a:solidFill>
                              <a:latin typeface="+mn-lt"/>
                              <a:ea typeface="+mn-ea"/>
                              <a:cs typeface="+mn-cs"/>
                            </a:defRPr>
                          </a:lvl4pPr>
                          <a:lvl5pPr marL="1828800" algn="r" defTabSz="914400" rtl="1" eaLnBrk="1" latinLnBrk="0" hangingPunct="1">
                            <a:defRPr sz="1800" kern="1200">
                              <a:solidFill>
                                <a:schemeClr val="tx1"/>
                              </a:solidFill>
                              <a:latin typeface="+mn-lt"/>
                              <a:ea typeface="+mn-ea"/>
                              <a:cs typeface="+mn-cs"/>
                            </a:defRPr>
                          </a:lvl5pPr>
                          <a:lvl6pPr marL="2286000" algn="r" defTabSz="914400" rtl="1" eaLnBrk="1" latinLnBrk="0" hangingPunct="1">
                            <a:defRPr sz="1800" kern="1200">
                              <a:solidFill>
                                <a:schemeClr val="tx1"/>
                              </a:solidFill>
                              <a:latin typeface="+mn-lt"/>
                              <a:ea typeface="+mn-ea"/>
                              <a:cs typeface="+mn-cs"/>
                            </a:defRPr>
                          </a:lvl6pPr>
                          <a:lvl7pPr marL="2743200" algn="r" defTabSz="914400" rtl="1" eaLnBrk="1" latinLnBrk="0" hangingPunct="1">
                            <a:defRPr sz="1800" kern="1200">
                              <a:solidFill>
                                <a:schemeClr val="tx1"/>
                              </a:solidFill>
                              <a:latin typeface="+mn-lt"/>
                              <a:ea typeface="+mn-ea"/>
                              <a:cs typeface="+mn-cs"/>
                            </a:defRPr>
                          </a:lvl7pPr>
                          <a:lvl8pPr marL="3200400" algn="r" defTabSz="914400" rtl="1" eaLnBrk="1" latinLnBrk="0" hangingPunct="1">
                            <a:defRPr sz="1800" kern="1200">
                              <a:solidFill>
                                <a:schemeClr val="tx1"/>
                              </a:solidFill>
                              <a:latin typeface="+mn-lt"/>
                              <a:ea typeface="+mn-ea"/>
                              <a:cs typeface="+mn-cs"/>
                            </a:defRPr>
                          </a:lvl8pPr>
                          <a:lvl9pPr marL="3657600" algn="r" defTabSz="914400" rtl="1" eaLnBrk="1" latinLnBrk="0" hangingPunct="1">
                            <a:defRPr sz="1800" kern="1200">
                              <a:solidFill>
                                <a:schemeClr val="tx1"/>
                              </a:solidFill>
                              <a:latin typeface="+mn-lt"/>
                              <a:ea typeface="+mn-ea"/>
                              <a:cs typeface="+mn-cs"/>
                            </a:defRPr>
                          </a:lvl9pPr>
                        </a:lstStyle>
                        <a:p>
                          <a:pPr algn="l"/>
                          <a:r>
                            <a:rPr lang="fr-FR" dirty="0" smtClean="0">
                              <a:cs typeface="+mj-cs"/>
                            </a:rPr>
                            <a:t>imperméable</a:t>
                          </a:r>
                          <a:endParaRPr lang="ar-SA" dirty="0">
                            <a:cs typeface="+mj-cs"/>
                          </a:endParaRPr>
                        </a:p>
                      </a:txBody>
                      <a:useSpRect/>
                    </a:txSp>
                  </a:sp>
                  <a:sp>
                    <a:nvSpPr>
                      <a:cNvPr id="29" name="مستطيل 28"/>
                      <a:cNvSpPr/>
                    </a:nvSpPr>
                    <a:spPr>
                      <a:xfrm rot="5400000">
                        <a:off x="4822576" y="3244334"/>
                        <a:ext cx="1439817" cy="369332"/>
                      </a:xfrm>
                      <a:prstGeom prst="rect">
                        <a:avLst/>
                      </a:prstGeom>
                    </a:spPr>
                    <a:txSp>
                      <a:txBody>
                        <a:bodyPr wrap="none">
                          <a:spAutoFit/>
                        </a:bodyPr>
                        <a:lstStyle>
                          <a:defPPr>
                            <a:defRPr lang="ar-SA"/>
                          </a:defPPr>
                          <a:lvl1pPr marL="0" algn="r" defTabSz="914400" rtl="1" eaLnBrk="1" latinLnBrk="0" hangingPunct="1">
                            <a:defRPr sz="1800" kern="1200">
                              <a:solidFill>
                                <a:schemeClr val="tx1"/>
                              </a:solidFill>
                              <a:latin typeface="+mn-lt"/>
                              <a:ea typeface="+mn-ea"/>
                              <a:cs typeface="+mn-cs"/>
                            </a:defRPr>
                          </a:lvl1pPr>
                          <a:lvl2pPr marL="457200" algn="r" defTabSz="914400" rtl="1" eaLnBrk="1" latinLnBrk="0" hangingPunct="1">
                            <a:defRPr sz="1800" kern="1200">
                              <a:solidFill>
                                <a:schemeClr val="tx1"/>
                              </a:solidFill>
                              <a:latin typeface="+mn-lt"/>
                              <a:ea typeface="+mn-ea"/>
                              <a:cs typeface="+mn-cs"/>
                            </a:defRPr>
                          </a:lvl2pPr>
                          <a:lvl3pPr marL="914400" algn="r" defTabSz="914400" rtl="1" eaLnBrk="1" latinLnBrk="0" hangingPunct="1">
                            <a:defRPr sz="1800" kern="1200">
                              <a:solidFill>
                                <a:schemeClr val="tx1"/>
                              </a:solidFill>
                              <a:latin typeface="+mn-lt"/>
                              <a:ea typeface="+mn-ea"/>
                              <a:cs typeface="+mn-cs"/>
                            </a:defRPr>
                          </a:lvl3pPr>
                          <a:lvl4pPr marL="1371600" algn="r" defTabSz="914400" rtl="1" eaLnBrk="1" latinLnBrk="0" hangingPunct="1">
                            <a:defRPr sz="1800" kern="1200">
                              <a:solidFill>
                                <a:schemeClr val="tx1"/>
                              </a:solidFill>
                              <a:latin typeface="+mn-lt"/>
                              <a:ea typeface="+mn-ea"/>
                              <a:cs typeface="+mn-cs"/>
                            </a:defRPr>
                          </a:lvl4pPr>
                          <a:lvl5pPr marL="1828800" algn="r" defTabSz="914400" rtl="1" eaLnBrk="1" latinLnBrk="0" hangingPunct="1">
                            <a:defRPr sz="1800" kern="1200">
                              <a:solidFill>
                                <a:schemeClr val="tx1"/>
                              </a:solidFill>
                              <a:latin typeface="+mn-lt"/>
                              <a:ea typeface="+mn-ea"/>
                              <a:cs typeface="+mn-cs"/>
                            </a:defRPr>
                          </a:lvl5pPr>
                          <a:lvl6pPr marL="2286000" algn="r" defTabSz="914400" rtl="1" eaLnBrk="1" latinLnBrk="0" hangingPunct="1">
                            <a:defRPr sz="1800" kern="1200">
                              <a:solidFill>
                                <a:schemeClr val="tx1"/>
                              </a:solidFill>
                              <a:latin typeface="+mn-lt"/>
                              <a:ea typeface="+mn-ea"/>
                              <a:cs typeface="+mn-cs"/>
                            </a:defRPr>
                          </a:lvl6pPr>
                          <a:lvl7pPr marL="2743200" algn="r" defTabSz="914400" rtl="1" eaLnBrk="1" latinLnBrk="0" hangingPunct="1">
                            <a:defRPr sz="1800" kern="1200">
                              <a:solidFill>
                                <a:schemeClr val="tx1"/>
                              </a:solidFill>
                              <a:latin typeface="+mn-lt"/>
                              <a:ea typeface="+mn-ea"/>
                              <a:cs typeface="+mn-cs"/>
                            </a:defRPr>
                          </a:lvl7pPr>
                          <a:lvl8pPr marL="3200400" algn="r" defTabSz="914400" rtl="1" eaLnBrk="1" latinLnBrk="0" hangingPunct="1">
                            <a:defRPr sz="1800" kern="1200">
                              <a:solidFill>
                                <a:schemeClr val="tx1"/>
                              </a:solidFill>
                              <a:latin typeface="+mn-lt"/>
                              <a:ea typeface="+mn-ea"/>
                              <a:cs typeface="+mn-cs"/>
                            </a:defRPr>
                          </a:lvl8pPr>
                          <a:lvl9pPr marL="3657600" algn="r" defTabSz="914400" rtl="1" eaLnBrk="1" latinLnBrk="0" hangingPunct="1">
                            <a:defRPr sz="1800" kern="1200">
                              <a:solidFill>
                                <a:schemeClr val="tx1"/>
                              </a:solidFill>
                              <a:latin typeface="+mn-lt"/>
                              <a:ea typeface="+mn-ea"/>
                              <a:cs typeface="+mn-cs"/>
                            </a:defRPr>
                          </a:lvl9pPr>
                        </a:lstStyle>
                        <a:p>
                          <a:pPr algn="l"/>
                          <a:r>
                            <a:rPr lang="fr-FR" dirty="0" smtClean="0"/>
                            <a:t>imperméable</a:t>
                          </a:r>
                          <a:endParaRPr lang="ar-SA" dirty="0"/>
                        </a:p>
                      </a:txBody>
                      <a:useSpRect/>
                    </a:txSp>
                  </a:sp>
                  <a:sp>
                    <a:nvSpPr>
                      <a:cNvPr id="30" name="مستطيل 29"/>
                      <a:cNvSpPr/>
                    </a:nvSpPr>
                    <a:spPr>
                      <a:xfrm>
                        <a:off x="2428860" y="5429264"/>
                        <a:ext cx="1439817" cy="369332"/>
                      </a:xfrm>
                      <a:prstGeom prst="rect">
                        <a:avLst/>
                      </a:prstGeom>
                    </a:spPr>
                    <a:txSp>
                      <a:txBody>
                        <a:bodyPr wrap="none">
                          <a:spAutoFit/>
                        </a:bodyPr>
                        <a:lstStyle>
                          <a:defPPr>
                            <a:defRPr lang="ar-SA"/>
                          </a:defPPr>
                          <a:lvl1pPr marL="0" algn="r" defTabSz="914400" rtl="1" eaLnBrk="1" latinLnBrk="0" hangingPunct="1">
                            <a:defRPr sz="1800" kern="1200">
                              <a:solidFill>
                                <a:schemeClr val="tx1"/>
                              </a:solidFill>
                              <a:latin typeface="+mn-lt"/>
                              <a:ea typeface="+mn-ea"/>
                              <a:cs typeface="+mn-cs"/>
                            </a:defRPr>
                          </a:lvl1pPr>
                          <a:lvl2pPr marL="457200" algn="r" defTabSz="914400" rtl="1" eaLnBrk="1" latinLnBrk="0" hangingPunct="1">
                            <a:defRPr sz="1800" kern="1200">
                              <a:solidFill>
                                <a:schemeClr val="tx1"/>
                              </a:solidFill>
                              <a:latin typeface="+mn-lt"/>
                              <a:ea typeface="+mn-ea"/>
                              <a:cs typeface="+mn-cs"/>
                            </a:defRPr>
                          </a:lvl2pPr>
                          <a:lvl3pPr marL="914400" algn="r" defTabSz="914400" rtl="1" eaLnBrk="1" latinLnBrk="0" hangingPunct="1">
                            <a:defRPr sz="1800" kern="1200">
                              <a:solidFill>
                                <a:schemeClr val="tx1"/>
                              </a:solidFill>
                              <a:latin typeface="+mn-lt"/>
                              <a:ea typeface="+mn-ea"/>
                              <a:cs typeface="+mn-cs"/>
                            </a:defRPr>
                          </a:lvl3pPr>
                          <a:lvl4pPr marL="1371600" algn="r" defTabSz="914400" rtl="1" eaLnBrk="1" latinLnBrk="0" hangingPunct="1">
                            <a:defRPr sz="1800" kern="1200">
                              <a:solidFill>
                                <a:schemeClr val="tx1"/>
                              </a:solidFill>
                              <a:latin typeface="+mn-lt"/>
                              <a:ea typeface="+mn-ea"/>
                              <a:cs typeface="+mn-cs"/>
                            </a:defRPr>
                          </a:lvl4pPr>
                          <a:lvl5pPr marL="1828800" algn="r" defTabSz="914400" rtl="1" eaLnBrk="1" latinLnBrk="0" hangingPunct="1">
                            <a:defRPr sz="1800" kern="1200">
                              <a:solidFill>
                                <a:schemeClr val="tx1"/>
                              </a:solidFill>
                              <a:latin typeface="+mn-lt"/>
                              <a:ea typeface="+mn-ea"/>
                              <a:cs typeface="+mn-cs"/>
                            </a:defRPr>
                          </a:lvl5pPr>
                          <a:lvl6pPr marL="2286000" algn="r" defTabSz="914400" rtl="1" eaLnBrk="1" latinLnBrk="0" hangingPunct="1">
                            <a:defRPr sz="1800" kern="1200">
                              <a:solidFill>
                                <a:schemeClr val="tx1"/>
                              </a:solidFill>
                              <a:latin typeface="+mn-lt"/>
                              <a:ea typeface="+mn-ea"/>
                              <a:cs typeface="+mn-cs"/>
                            </a:defRPr>
                          </a:lvl6pPr>
                          <a:lvl7pPr marL="2743200" algn="r" defTabSz="914400" rtl="1" eaLnBrk="1" latinLnBrk="0" hangingPunct="1">
                            <a:defRPr sz="1800" kern="1200">
                              <a:solidFill>
                                <a:schemeClr val="tx1"/>
                              </a:solidFill>
                              <a:latin typeface="+mn-lt"/>
                              <a:ea typeface="+mn-ea"/>
                              <a:cs typeface="+mn-cs"/>
                            </a:defRPr>
                          </a:lvl7pPr>
                          <a:lvl8pPr marL="3200400" algn="r" defTabSz="914400" rtl="1" eaLnBrk="1" latinLnBrk="0" hangingPunct="1">
                            <a:defRPr sz="1800" kern="1200">
                              <a:solidFill>
                                <a:schemeClr val="tx1"/>
                              </a:solidFill>
                              <a:latin typeface="+mn-lt"/>
                              <a:ea typeface="+mn-ea"/>
                              <a:cs typeface="+mn-cs"/>
                            </a:defRPr>
                          </a:lvl8pPr>
                          <a:lvl9pPr marL="3657600" algn="r" defTabSz="914400" rtl="1" eaLnBrk="1" latinLnBrk="0" hangingPunct="1">
                            <a:defRPr sz="1800" kern="1200">
                              <a:solidFill>
                                <a:schemeClr val="tx1"/>
                              </a:solidFill>
                              <a:latin typeface="+mn-lt"/>
                              <a:ea typeface="+mn-ea"/>
                              <a:cs typeface="+mn-cs"/>
                            </a:defRPr>
                          </a:lvl9pPr>
                        </a:lstStyle>
                        <a:p>
                          <a:pPr algn="l"/>
                          <a:r>
                            <a:rPr lang="fr-FR" dirty="0" smtClean="0">
                              <a:cs typeface="+mj-cs"/>
                            </a:rPr>
                            <a:t>imperméable</a:t>
                          </a:r>
                          <a:endParaRPr lang="ar-SA" dirty="0">
                            <a:cs typeface="+mj-cs"/>
                          </a:endParaRPr>
                        </a:p>
                      </a:txBody>
                      <a:useSpRect/>
                    </a:txSp>
                  </a:sp>
                  <a:sp>
                    <a:nvSpPr>
                      <a:cNvPr id="31" name="مستطيل 30"/>
                      <a:cNvSpPr/>
                    </a:nvSpPr>
                    <a:spPr>
                      <a:xfrm rot="16200000">
                        <a:off x="464858" y="4535747"/>
                        <a:ext cx="1439817" cy="369332"/>
                      </a:xfrm>
                      <a:prstGeom prst="rect">
                        <a:avLst/>
                      </a:prstGeom>
                    </a:spPr>
                    <a:txSp>
                      <a:txBody>
                        <a:bodyPr wrap="none">
                          <a:spAutoFit/>
                        </a:bodyPr>
                        <a:lstStyle>
                          <a:defPPr>
                            <a:defRPr lang="ar-SA"/>
                          </a:defPPr>
                          <a:lvl1pPr marL="0" algn="r" defTabSz="914400" rtl="1" eaLnBrk="1" latinLnBrk="0" hangingPunct="1">
                            <a:defRPr sz="1800" kern="1200">
                              <a:solidFill>
                                <a:schemeClr val="tx1"/>
                              </a:solidFill>
                              <a:latin typeface="+mn-lt"/>
                              <a:ea typeface="+mn-ea"/>
                              <a:cs typeface="+mn-cs"/>
                            </a:defRPr>
                          </a:lvl1pPr>
                          <a:lvl2pPr marL="457200" algn="r" defTabSz="914400" rtl="1" eaLnBrk="1" latinLnBrk="0" hangingPunct="1">
                            <a:defRPr sz="1800" kern="1200">
                              <a:solidFill>
                                <a:schemeClr val="tx1"/>
                              </a:solidFill>
                              <a:latin typeface="+mn-lt"/>
                              <a:ea typeface="+mn-ea"/>
                              <a:cs typeface="+mn-cs"/>
                            </a:defRPr>
                          </a:lvl2pPr>
                          <a:lvl3pPr marL="914400" algn="r" defTabSz="914400" rtl="1" eaLnBrk="1" latinLnBrk="0" hangingPunct="1">
                            <a:defRPr sz="1800" kern="1200">
                              <a:solidFill>
                                <a:schemeClr val="tx1"/>
                              </a:solidFill>
                              <a:latin typeface="+mn-lt"/>
                              <a:ea typeface="+mn-ea"/>
                              <a:cs typeface="+mn-cs"/>
                            </a:defRPr>
                          </a:lvl3pPr>
                          <a:lvl4pPr marL="1371600" algn="r" defTabSz="914400" rtl="1" eaLnBrk="1" latinLnBrk="0" hangingPunct="1">
                            <a:defRPr sz="1800" kern="1200">
                              <a:solidFill>
                                <a:schemeClr val="tx1"/>
                              </a:solidFill>
                              <a:latin typeface="+mn-lt"/>
                              <a:ea typeface="+mn-ea"/>
                              <a:cs typeface="+mn-cs"/>
                            </a:defRPr>
                          </a:lvl4pPr>
                          <a:lvl5pPr marL="1828800" algn="r" defTabSz="914400" rtl="1" eaLnBrk="1" latinLnBrk="0" hangingPunct="1">
                            <a:defRPr sz="1800" kern="1200">
                              <a:solidFill>
                                <a:schemeClr val="tx1"/>
                              </a:solidFill>
                              <a:latin typeface="+mn-lt"/>
                              <a:ea typeface="+mn-ea"/>
                              <a:cs typeface="+mn-cs"/>
                            </a:defRPr>
                          </a:lvl5pPr>
                          <a:lvl6pPr marL="2286000" algn="r" defTabSz="914400" rtl="1" eaLnBrk="1" latinLnBrk="0" hangingPunct="1">
                            <a:defRPr sz="1800" kern="1200">
                              <a:solidFill>
                                <a:schemeClr val="tx1"/>
                              </a:solidFill>
                              <a:latin typeface="+mn-lt"/>
                              <a:ea typeface="+mn-ea"/>
                              <a:cs typeface="+mn-cs"/>
                            </a:defRPr>
                          </a:lvl6pPr>
                          <a:lvl7pPr marL="2743200" algn="r" defTabSz="914400" rtl="1" eaLnBrk="1" latinLnBrk="0" hangingPunct="1">
                            <a:defRPr sz="1800" kern="1200">
                              <a:solidFill>
                                <a:schemeClr val="tx1"/>
                              </a:solidFill>
                              <a:latin typeface="+mn-lt"/>
                              <a:ea typeface="+mn-ea"/>
                              <a:cs typeface="+mn-cs"/>
                            </a:defRPr>
                          </a:lvl7pPr>
                          <a:lvl8pPr marL="3200400" algn="r" defTabSz="914400" rtl="1" eaLnBrk="1" latinLnBrk="0" hangingPunct="1">
                            <a:defRPr sz="1800" kern="1200">
                              <a:solidFill>
                                <a:schemeClr val="tx1"/>
                              </a:solidFill>
                              <a:latin typeface="+mn-lt"/>
                              <a:ea typeface="+mn-ea"/>
                              <a:cs typeface="+mn-cs"/>
                            </a:defRPr>
                          </a:lvl8pPr>
                          <a:lvl9pPr marL="3657600" algn="r" defTabSz="914400" rtl="1" eaLnBrk="1" latinLnBrk="0" hangingPunct="1">
                            <a:defRPr sz="1800" kern="1200">
                              <a:solidFill>
                                <a:schemeClr val="tx1"/>
                              </a:solidFill>
                              <a:latin typeface="+mn-lt"/>
                              <a:ea typeface="+mn-ea"/>
                              <a:cs typeface="+mn-cs"/>
                            </a:defRPr>
                          </a:lvl9pPr>
                        </a:lstStyle>
                        <a:p>
                          <a:pPr algn="l"/>
                          <a:r>
                            <a:rPr lang="fr-FR" dirty="0" smtClean="0"/>
                            <a:t>imperméable</a:t>
                          </a:r>
                          <a:endParaRPr lang="ar-SA" dirty="0"/>
                        </a:p>
                      </a:txBody>
                      <a:useSpRect/>
                    </a:txSp>
                  </a:sp>
                  <a:sp>
                    <a:nvSpPr>
                      <a:cNvPr id="32" name="مستطيل 31"/>
                      <a:cNvSpPr/>
                    </a:nvSpPr>
                    <a:spPr>
                      <a:xfrm rot="16200000">
                        <a:off x="464859" y="1749665"/>
                        <a:ext cx="1439817" cy="369332"/>
                      </a:xfrm>
                      <a:prstGeom prst="rect">
                        <a:avLst/>
                      </a:prstGeom>
                    </a:spPr>
                    <a:txSp>
                      <a:txBody>
                        <a:bodyPr wrap="none">
                          <a:spAutoFit/>
                        </a:bodyPr>
                        <a:lstStyle>
                          <a:defPPr>
                            <a:defRPr lang="ar-SA"/>
                          </a:defPPr>
                          <a:lvl1pPr marL="0" algn="r" defTabSz="914400" rtl="1" eaLnBrk="1" latinLnBrk="0" hangingPunct="1">
                            <a:defRPr sz="1800" kern="1200">
                              <a:solidFill>
                                <a:schemeClr val="tx1"/>
                              </a:solidFill>
                              <a:latin typeface="+mn-lt"/>
                              <a:ea typeface="+mn-ea"/>
                              <a:cs typeface="+mn-cs"/>
                            </a:defRPr>
                          </a:lvl1pPr>
                          <a:lvl2pPr marL="457200" algn="r" defTabSz="914400" rtl="1" eaLnBrk="1" latinLnBrk="0" hangingPunct="1">
                            <a:defRPr sz="1800" kern="1200">
                              <a:solidFill>
                                <a:schemeClr val="tx1"/>
                              </a:solidFill>
                              <a:latin typeface="+mn-lt"/>
                              <a:ea typeface="+mn-ea"/>
                              <a:cs typeface="+mn-cs"/>
                            </a:defRPr>
                          </a:lvl2pPr>
                          <a:lvl3pPr marL="914400" algn="r" defTabSz="914400" rtl="1" eaLnBrk="1" latinLnBrk="0" hangingPunct="1">
                            <a:defRPr sz="1800" kern="1200">
                              <a:solidFill>
                                <a:schemeClr val="tx1"/>
                              </a:solidFill>
                              <a:latin typeface="+mn-lt"/>
                              <a:ea typeface="+mn-ea"/>
                              <a:cs typeface="+mn-cs"/>
                            </a:defRPr>
                          </a:lvl3pPr>
                          <a:lvl4pPr marL="1371600" algn="r" defTabSz="914400" rtl="1" eaLnBrk="1" latinLnBrk="0" hangingPunct="1">
                            <a:defRPr sz="1800" kern="1200">
                              <a:solidFill>
                                <a:schemeClr val="tx1"/>
                              </a:solidFill>
                              <a:latin typeface="+mn-lt"/>
                              <a:ea typeface="+mn-ea"/>
                              <a:cs typeface="+mn-cs"/>
                            </a:defRPr>
                          </a:lvl4pPr>
                          <a:lvl5pPr marL="1828800" algn="r" defTabSz="914400" rtl="1" eaLnBrk="1" latinLnBrk="0" hangingPunct="1">
                            <a:defRPr sz="1800" kern="1200">
                              <a:solidFill>
                                <a:schemeClr val="tx1"/>
                              </a:solidFill>
                              <a:latin typeface="+mn-lt"/>
                              <a:ea typeface="+mn-ea"/>
                              <a:cs typeface="+mn-cs"/>
                            </a:defRPr>
                          </a:lvl5pPr>
                          <a:lvl6pPr marL="2286000" algn="r" defTabSz="914400" rtl="1" eaLnBrk="1" latinLnBrk="0" hangingPunct="1">
                            <a:defRPr sz="1800" kern="1200">
                              <a:solidFill>
                                <a:schemeClr val="tx1"/>
                              </a:solidFill>
                              <a:latin typeface="+mn-lt"/>
                              <a:ea typeface="+mn-ea"/>
                              <a:cs typeface="+mn-cs"/>
                            </a:defRPr>
                          </a:lvl6pPr>
                          <a:lvl7pPr marL="2743200" algn="r" defTabSz="914400" rtl="1" eaLnBrk="1" latinLnBrk="0" hangingPunct="1">
                            <a:defRPr sz="1800" kern="1200">
                              <a:solidFill>
                                <a:schemeClr val="tx1"/>
                              </a:solidFill>
                              <a:latin typeface="+mn-lt"/>
                              <a:ea typeface="+mn-ea"/>
                              <a:cs typeface="+mn-cs"/>
                            </a:defRPr>
                          </a:lvl7pPr>
                          <a:lvl8pPr marL="3200400" algn="r" defTabSz="914400" rtl="1" eaLnBrk="1" latinLnBrk="0" hangingPunct="1">
                            <a:defRPr sz="1800" kern="1200">
                              <a:solidFill>
                                <a:schemeClr val="tx1"/>
                              </a:solidFill>
                              <a:latin typeface="+mn-lt"/>
                              <a:ea typeface="+mn-ea"/>
                              <a:cs typeface="+mn-cs"/>
                            </a:defRPr>
                          </a:lvl8pPr>
                          <a:lvl9pPr marL="3657600" algn="r" defTabSz="914400" rtl="1" eaLnBrk="1" latinLnBrk="0" hangingPunct="1">
                            <a:defRPr sz="1800" kern="1200">
                              <a:solidFill>
                                <a:schemeClr val="tx1"/>
                              </a:solidFill>
                              <a:latin typeface="+mn-lt"/>
                              <a:ea typeface="+mn-ea"/>
                              <a:cs typeface="+mn-cs"/>
                            </a:defRPr>
                          </a:lvl9pPr>
                        </a:lstStyle>
                        <a:p>
                          <a:pPr algn="l"/>
                          <a:r>
                            <a:rPr lang="fr-FR" dirty="0" smtClean="0"/>
                            <a:t>imperméable</a:t>
                          </a:r>
                          <a:endParaRPr lang="ar-SA" dirty="0"/>
                        </a:p>
                      </a:txBody>
                      <a:useSpRect/>
                    </a:txSp>
                  </a:sp>
                  <a:cxnSp>
                    <a:nvCxnSpPr>
                      <a:cNvPr id="34" name="رابط مستقيم 33"/>
                      <a:cNvCxnSpPr/>
                    </a:nvCxnSpPr>
                    <a:spPr>
                      <a:xfrm rot="5400000">
                        <a:off x="883221" y="2045681"/>
                        <a:ext cx="1235478" cy="1588"/>
                      </a:xfrm>
                      <a:prstGeom prst="line">
                        <a:avLst/>
                      </a:prstGeom>
                    </a:spPr>
                    <a:style>
                      <a:lnRef idx="3">
                        <a:schemeClr val="dk1"/>
                      </a:lnRef>
                      <a:fillRef idx="0">
                        <a:schemeClr val="dk1"/>
                      </a:fillRef>
                      <a:effectRef idx="2">
                        <a:schemeClr val="dk1"/>
                      </a:effectRef>
                      <a:fontRef idx="minor">
                        <a:schemeClr val="tx1"/>
                      </a:fontRef>
                    </a:style>
                  </a:cxnSp>
                  <a:cxnSp>
                    <a:nvCxnSpPr>
                      <a:cNvPr id="38" name="رابط مستقيم 37"/>
                      <a:cNvCxnSpPr/>
                    </a:nvCxnSpPr>
                    <a:spPr>
                      <a:xfrm>
                        <a:off x="1500166" y="1428736"/>
                        <a:ext cx="3714776" cy="1588"/>
                      </a:xfrm>
                      <a:prstGeom prst="line">
                        <a:avLst/>
                      </a:prstGeom>
                    </a:spPr>
                    <a:style>
                      <a:lnRef idx="3">
                        <a:schemeClr val="dk1"/>
                      </a:lnRef>
                      <a:fillRef idx="0">
                        <a:schemeClr val="dk1"/>
                      </a:fillRef>
                      <a:effectRef idx="2">
                        <a:schemeClr val="dk1"/>
                      </a:effectRef>
                      <a:fontRef idx="minor">
                        <a:schemeClr val="tx1"/>
                      </a:fontRef>
                    </a:style>
                  </a:cxnSp>
                  <a:cxnSp>
                    <a:nvCxnSpPr>
                      <a:cNvPr id="40" name="رابط مستقيم 39"/>
                      <a:cNvCxnSpPr/>
                    </a:nvCxnSpPr>
                    <a:spPr>
                      <a:xfrm rot="5400000">
                        <a:off x="3251191" y="3392487"/>
                        <a:ext cx="3929090" cy="1588"/>
                      </a:xfrm>
                      <a:prstGeom prst="line">
                        <a:avLst/>
                      </a:prstGeom>
                    </a:spPr>
                    <a:style>
                      <a:lnRef idx="3">
                        <a:schemeClr val="dk1"/>
                      </a:lnRef>
                      <a:fillRef idx="0">
                        <a:schemeClr val="dk1"/>
                      </a:fillRef>
                      <a:effectRef idx="2">
                        <a:schemeClr val="dk1"/>
                      </a:effectRef>
                      <a:fontRef idx="minor">
                        <a:schemeClr val="tx1"/>
                      </a:fontRef>
                    </a:style>
                  </a:cxnSp>
                  <a:cxnSp>
                    <a:nvCxnSpPr>
                      <a:cNvPr id="42" name="رابط بشكل مرفق 41"/>
                      <a:cNvCxnSpPr/>
                    </a:nvCxnSpPr>
                    <a:spPr>
                      <a:xfrm>
                        <a:off x="1535884" y="4000505"/>
                        <a:ext cx="3679060" cy="1357323"/>
                      </a:xfrm>
                      <a:prstGeom prst="bentConnector3">
                        <a:avLst>
                          <a:gd name="adj1" fmla="val -485"/>
                        </a:avLst>
                      </a:prstGeom>
                    </a:spPr>
                    <a:style>
                      <a:lnRef idx="3">
                        <a:schemeClr val="dk1"/>
                      </a:lnRef>
                      <a:fillRef idx="0">
                        <a:schemeClr val="dk1"/>
                      </a:fillRef>
                      <a:effectRef idx="2">
                        <a:schemeClr val="dk1"/>
                      </a:effectRef>
                      <a:fontRef idx="minor">
                        <a:schemeClr val="tx1"/>
                      </a:fontRef>
                    </a:style>
                  </a:cxnSp>
                  <a:sp>
                    <a:nvSpPr>
                      <a:cNvPr id="180" name="شكل بيضاوي 179"/>
                      <a:cNvSpPr/>
                    </a:nvSpPr>
                    <a:spPr>
                      <a:xfrm>
                        <a:off x="2428860" y="3357562"/>
                        <a:ext cx="71438" cy="71438"/>
                      </a:xfrm>
                      <a:prstGeom prst="ellipse">
                        <a:avLst/>
                      </a:prstGeom>
                    </a:spPr>
                    <a:txSp>
                      <a:txBody>
                        <a:bodyPr rtlCol="1" anchor="ctr"/>
                        <a:lstStyle>
                          <a:defPPr>
                            <a:defRPr lang="ar-SA"/>
                          </a:defPPr>
                          <a:lvl1pPr marL="0" algn="r" defTabSz="914400" rtl="1" eaLnBrk="1" latinLnBrk="0" hangingPunct="1">
                            <a:defRPr sz="1800" kern="1200">
                              <a:solidFill>
                                <a:schemeClr val="lt1"/>
                              </a:solidFill>
                              <a:latin typeface="+mn-lt"/>
                              <a:ea typeface="+mn-ea"/>
                              <a:cs typeface="+mn-cs"/>
                            </a:defRPr>
                          </a:lvl1pPr>
                          <a:lvl2pPr marL="457200" algn="r" defTabSz="914400" rtl="1" eaLnBrk="1" latinLnBrk="0" hangingPunct="1">
                            <a:defRPr sz="1800" kern="1200">
                              <a:solidFill>
                                <a:schemeClr val="lt1"/>
                              </a:solidFill>
                              <a:latin typeface="+mn-lt"/>
                              <a:ea typeface="+mn-ea"/>
                              <a:cs typeface="+mn-cs"/>
                            </a:defRPr>
                          </a:lvl2pPr>
                          <a:lvl3pPr marL="914400" algn="r" defTabSz="914400" rtl="1" eaLnBrk="1" latinLnBrk="0" hangingPunct="1">
                            <a:defRPr sz="1800" kern="1200">
                              <a:solidFill>
                                <a:schemeClr val="lt1"/>
                              </a:solidFill>
                              <a:latin typeface="+mn-lt"/>
                              <a:ea typeface="+mn-ea"/>
                              <a:cs typeface="+mn-cs"/>
                            </a:defRPr>
                          </a:lvl3pPr>
                          <a:lvl4pPr marL="1371600" algn="r" defTabSz="914400" rtl="1" eaLnBrk="1" latinLnBrk="0" hangingPunct="1">
                            <a:defRPr sz="1800" kern="1200">
                              <a:solidFill>
                                <a:schemeClr val="lt1"/>
                              </a:solidFill>
                              <a:latin typeface="+mn-lt"/>
                              <a:ea typeface="+mn-ea"/>
                              <a:cs typeface="+mn-cs"/>
                            </a:defRPr>
                          </a:lvl4pPr>
                          <a:lvl5pPr marL="1828800" algn="r" defTabSz="914400" rtl="1" eaLnBrk="1" latinLnBrk="0" hangingPunct="1">
                            <a:defRPr sz="1800" kern="1200">
                              <a:solidFill>
                                <a:schemeClr val="lt1"/>
                              </a:solidFill>
                              <a:latin typeface="+mn-lt"/>
                              <a:ea typeface="+mn-ea"/>
                              <a:cs typeface="+mn-cs"/>
                            </a:defRPr>
                          </a:lvl5pPr>
                          <a:lvl6pPr marL="2286000" algn="r" defTabSz="914400" rtl="1" eaLnBrk="1" latinLnBrk="0" hangingPunct="1">
                            <a:defRPr sz="1800" kern="1200">
                              <a:solidFill>
                                <a:schemeClr val="lt1"/>
                              </a:solidFill>
                              <a:latin typeface="+mn-lt"/>
                              <a:ea typeface="+mn-ea"/>
                              <a:cs typeface="+mn-cs"/>
                            </a:defRPr>
                          </a:lvl6pPr>
                          <a:lvl7pPr marL="2743200" algn="r" defTabSz="914400" rtl="1" eaLnBrk="1" latinLnBrk="0" hangingPunct="1">
                            <a:defRPr sz="1800" kern="1200">
                              <a:solidFill>
                                <a:schemeClr val="lt1"/>
                              </a:solidFill>
                              <a:latin typeface="+mn-lt"/>
                              <a:ea typeface="+mn-ea"/>
                              <a:cs typeface="+mn-cs"/>
                            </a:defRPr>
                          </a:lvl7pPr>
                          <a:lvl8pPr marL="3200400" algn="r" defTabSz="914400" rtl="1" eaLnBrk="1" latinLnBrk="0" hangingPunct="1">
                            <a:defRPr sz="1800" kern="1200">
                              <a:solidFill>
                                <a:schemeClr val="lt1"/>
                              </a:solidFill>
                              <a:latin typeface="+mn-lt"/>
                              <a:ea typeface="+mn-ea"/>
                              <a:cs typeface="+mn-cs"/>
                            </a:defRPr>
                          </a:lvl8pPr>
                          <a:lvl9pPr marL="3657600" algn="r" defTabSz="914400" rtl="1" eaLnBrk="1" latinLnBrk="0" hangingPunct="1">
                            <a:defRPr sz="1800" kern="1200">
                              <a:solidFill>
                                <a:schemeClr val="lt1"/>
                              </a:solidFill>
                              <a:latin typeface="+mn-lt"/>
                              <a:ea typeface="+mn-ea"/>
                              <a:cs typeface="+mn-cs"/>
                            </a:defRPr>
                          </a:lvl9pPr>
                        </a:lstStyle>
                        <a:p>
                          <a:pPr algn="ctr"/>
                          <a:endParaRPr lang="ar-SA"/>
                        </a:p>
                      </a:txBody>
                      <a:useSpRect/>
                    </a:txSp>
                    <a:style>
                      <a:lnRef idx="2">
                        <a:schemeClr val="dk1">
                          <a:shade val="50000"/>
                        </a:schemeClr>
                      </a:lnRef>
                      <a:fillRef idx="1">
                        <a:schemeClr val="dk1"/>
                      </a:fillRef>
                      <a:effectRef idx="0">
                        <a:schemeClr val="dk1"/>
                      </a:effectRef>
                      <a:fontRef idx="minor">
                        <a:schemeClr val="lt1"/>
                      </a:fontRef>
                    </a:style>
                  </a:sp>
                  <a:sp>
                    <a:nvSpPr>
                      <a:cNvPr id="181" name="شكل بيضاوي 180"/>
                      <a:cNvSpPr/>
                    </a:nvSpPr>
                    <a:spPr>
                      <a:xfrm>
                        <a:off x="2857488" y="3357562"/>
                        <a:ext cx="71438" cy="71438"/>
                      </a:xfrm>
                      <a:prstGeom prst="ellipse">
                        <a:avLst/>
                      </a:prstGeom>
                    </a:spPr>
                    <a:txSp>
                      <a:txBody>
                        <a:bodyPr rtlCol="1" anchor="ctr"/>
                        <a:lstStyle>
                          <a:defPPr>
                            <a:defRPr lang="ar-SA"/>
                          </a:defPPr>
                          <a:lvl1pPr marL="0" algn="r" defTabSz="914400" rtl="1" eaLnBrk="1" latinLnBrk="0" hangingPunct="1">
                            <a:defRPr sz="1800" kern="1200">
                              <a:solidFill>
                                <a:schemeClr val="lt1"/>
                              </a:solidFill>
                              <a:latin typeface="+mn-lt"/>
                              <a:ea typeface="+mn-ea"/>
                              <a:cs typeface="+mn-cs"/>
                            </a:defRPr>
                          </a:lvl1pPr>
                          <a:lvl2pPr marL="457200" algn="r" defTabSz="914400" rtl="1" eaLnBrk="1" latinLnBrk="0" hangingPunct="1">
                            <a:defRPr sz="1800" kern="1200">
                              <a:solidFill>
                                <a:schemeClr val="lt1"/>
                              </a:solidFill>
                              <a:latin typeface="+mn-lt"/>
                              <a:ea typeface="+mn-ea"/>
                              <a:cs typeface="+mn-cs"/>
                            </a:defRPr>
                          </a:lvl2pPr>
                          <a:lvl3pPr marL="914400" algn="r" defTabSz="914400" rtl="1" eaLnBrk="1" latinLnBrk="0" hangingPunct="1">
                            <a:defRPr sz="1800" kern="1200">
                              <a:solidFill>
                                <a:schemeClr val="lt1"/>
                              </a:solidFill>
                              <a:latin typeface="+mn-lt"/>
                              <a:ea typeface="+mn-ea"/>
                              <a:cs typeface="+mn-cs"/>
                            </a:defRPr>
                          </a:lvl3pPr>
                          <a:lvl4pPr marL="1371600" algn="r" defTabSz="914400" rtl="1" eaLnBrk="1" latinLnBrk="0" hangingPunct="1">
                            <a:defRPr sz="1800" kern="1200">
                              <a:solidFill>
                                <a:schemeClr val="lt1"/>
                              </a:solidFill>
                              <a:latin typeface="+mn-lt"/>
                              <a:ea typeface="+mn-ea"/>
                              <a:cs typeface="+mn-cs"/>
                            </a:defRPr>
                          </a:lvl4pPr>
                          <a:lvl5pPr marL="1828800" algn="r" defTabSz="914400" rtl="1" eaLnBrk="1" latinLnBrk="0" hangingPunct="1">
                            <a:defRPr sz="1800" kern="1200">
                              <a:solidFill>
                                <a:schemeClr val="lt1"/>
                              </a:solidFill>
                              <a:latin typeface="+mn-lt"/>
                              <a:ea typeface="+mn-ea"/>
                              <a:cs typeface="+mn-cs"/>
                            </a:defRPr>
                          </a:lvl5pPr>
                          <a:lvl6pPr marL="2286000" algn="r" defTabSz="914400" rtl="1" eaLnBrk="1" latinLnBrk="0" hangingPunct="1">
                            <a:defRPr sz="1800" kern="1200">
                              <a:solidFill>
                                <a:schemeClr val="lt1"/>
                              </a:solidFill>
                              <a:latin typeface="+mn-lt"/>
                              <a:ea typeface="+mn-ea"/>
                              <a:cs typeface="+mn-cs"/>
                            </a:defRPr>
                          </a:lvl6pPr>
                          <a:lvl7pPr marL="2743200" algn="r" defTabSz="914400" rtl="1" eaLnBrk="1" latinLnBrk="0" hangingPunct="1">
                            <a:defRPr sz="1800" kern="1200">
                              <a:solidFill>
                                <a:schemeClr val="lt1"/>
                              </a:solidFill>
                              <a:latin typeface="+mn-lt"/>
                              <a:ea typeface="+mn-ea"/>
                              <a:cs typeface="+mn-cs"/>
                            </a:defRPr>
                          </a:lvl7pPr>
                          <a:lvl8pPr marL="3200400" algn="r" defTabSz="914400" rtl="1" eaLnBrk="1" latinLnBrk="0" hangingPunct="1">
                            <a:defRPr sz="1800" kern="1200">
                              <a:solidFill>
                                <a:schemeClr val="lt1"/>
                              </a:solidFill>
                              <a:latin typeface="+mn-lt"/>
                              <a:ea typeface="+mn-ea"/>
                              <a:cs typeface="+mn-cs"/>
                            </a:defRPr>
                          </a:lvl8pPr>
                          <a:lvl9pPr marL="3657600" algn="r" defTabSz="914400" rtl="1" eaLnBrk="1" latinLnBrk="0" hangingPunct="1">
                            <a:defRPr sz="1800" kern="1200">
                              <a:solidFill>
                                <a:schemeClr val="lt1"/>
                              </a:solidFill>
                              <a:latin typeface="+mn-lt"/>
                              <a:ea typeface="+mn-ea"/>
                              <a:cs typeface="+mn-cs"/>
                            </a:defRPr>
                          </a:lvl9pPr>
                        </a:lstStyle>
                        <a:p>
                          <a:pPr algn="ctr"/>
                          <a:endParaRPr lang="ar-SA"/>
                        </a:p>
                      </a:txBody>
                      <a:useSpRect/>
                    </a:txSp>
                    <a:style>
                      <a:lnRef idx="2">
                        <a:schemeClr val="dk1">
                          <a:shade val="50000"/>
                        </a:schemeClr>
                      </a:lnRef>
                      <a:fillRef idx="1">
                        <a:schemeClr val="dk1"/>
                      </a:fillRef>
                      <a:effectRef idx="0">
                        <a:schemeClr val="dk1"/>
                      </a:effectRef>
                      <a:fontRef idx="minor">
                        <a:schemeClr val="lt1"/>
                      </a:fontRef>
                    </a:style>
                  </a:sp>
                  <a:sp>
                    <a:nvSpPr>
                      <a:cNvPr id="182" name="شكل بيضاوي 181"/>
                      <a:cNvSpPr/>
                    </a:nvSpPr>
                    <a:spPr>
                      <a:xfrm>
                        <a:off x="5143504" y="3357562"/>
                        <a:ext cx="71438" cy="71438"/>
                      </a:xfrm>
                      <a:prstGeom prst="ellipse">
                        <a:avLst/>
                      </a:prstGeom>
                    </a:spPr>
                    <a:txSp>
                      <a:txBody>
                        <a:bodyPr rtlCol="1" anchor="ctr"/>
                        <a:lstStyle>
                          <a:defPPr>
                            <a:defRPr lang="ar-SA"/>
                          </a:defPPr>
                          <a:lvl1pPr marL="0" algn="r" defTabSz="914400" rtl="1" eaLnBrk="1" latinLnBrk="0" hangingPunct="1">
                            <a:defRPr sz="1800" kern="1200">
                              <a:solidFill>
                                <a:schemeClr val="lt1"/>
                              </a:solidFill>
                              <a:latin typeface="+mn-lt"/>
                              <a:ea typeface="+mn-ea"/>
                              <a:cs typeface="+mn-cs"/>
                            </a:defRPr>
                          </a:lvl1pPr>
                          <a:lvl2pPr marL="457200" algn="r" defTabSz="914400" rtl="1" eaLnBrk="1" latinLnBrk="0" hangingPunct="1">
                            <a:defRPr sz="1800" kern="1200">
                              <a:solidFill>
                                <a:schemeClr val="lt1"/>
                              </a:solidFill>
                              <a:latin typeface="+mn-lt"/>
                              <a:ea typeface="+mn-ea"/>
                              <a:cs typeface="+mn-cs"/>
                            </a:defRPr>
                          </a:lvl2pPr>
                          <a:lvl3pPr marL="914400" algn="r" defTabSz="914400" rtl="1" eaLnBrk="1" latinLnBrk="0" hangingPunct="1">
                            <a:defRPr sz="1800" kern="1200">
                              <a:solidFill>
                                <a:schemeClr val="lt1"/>
                              </a:solidFill>
                              <a:latin typeface="+mn-lt"/>
                              <a:ea typeface="+mn-ea"/>
                              <a:cs typeface="+mn-cs"/>
                            </a:defRPr>
                          </a:lvl3pPr>
                          <a:lvl4pPr marL="1371600" algn="r" defTabSz="914400" rtl="1" eaLnBrk="1" latinLnBrk="0" hangingPunct="1">
                            <a:defRPr sz="1800" kern="1200">
                              <a:solidFill>
                                <a:schemeClr val="lt1"/>
                              </a:solidFill>
                              <a:latin typeface="+mn-lt"/>
                              <a:ea typeface="+mn-ea"/>
                              <a:cs typeface="+mn-cs"/>
                            </a:defRPr>
                          </a:lvl4pPr>
                          <a:lvl5pPr marL="1828800" algn="r" defTabSz="914400" rtl="1" eaLnBrk="1" latinLnBrk="0" hangingPunct="1">
                            <a:defRPr sz="1800" kern="1200">
                              <a:solidFill>
                                <a:schemeClr val="lt1"/>
                              </a:solidFill>
                              <a:latin typeface="+mn-lt"/>
                              <a:ea typeface="+mn-ea"/>
                              <a:cs typeface="+mn-cs"/>
                            </a:defRPr>
                          </a:lvl5pPr>
                          <a:lvl6pPr marL="2286000" algn="r" defTabSz="914400" rtl="1" eaLnBrk="1" latinLnBrk="0" hangingPunct="1">
                            <a:defRPr sz="1800" kern="1200">
                              <a:solidFill>
                                <a:schemeClr val="lt1"/>
                              </a:solidFill>
                              <a:latin typeface="+mn-lt"/>
                              <a:ea typeface="+mn-ea"/>
                              <a:cs typeface="+mn-cs"/>
                            </a:defRPr>
                          </a:lvl6pPr>
                          <a:lvl7pPr marL="2743200" algn="r" defTabSz="914400" rtl="1" eaLnBrk="1" latinLnBrk="0" hangingPunct="1">
                            <a:defRPr sz="1800" kern="1200">
                              <a:solidFill>
                                <a:schemeClr val="lt1"/>
                              </a:solidFill>
                              <a:latin typeface="+mn-lt"/>
                              <a:ea typeface="+mn-ea"/>
                              <a:cs typeface="+mn-cs"/>
                            </a:defRPr>
                          </a:lvl7pPr>
                          <a:lvl8pPr marL="3200400" algn="r" defTabSz="914400" rtl="1" eaLnBrk="1" latinLnBrk="0" hangingPunct="1">
                            <a:defRPr sz="1800" kern="1200">
                              <a:solidFill>
                                <a:schemeClr val="lt1"/>
                              </a:solidFill>
                              <a:latin typeface="+mn-lt"/>
                              <a:ea typeface="+mn-ea"/>
                              <a:cs typeface="+mn-cs"/>
                            </a:defRPr>
                          </a:lvl8pPr>
                          <a:lvl9pPr marL="3657600" algn="r" defTabSz="914400" rtl="1" eaLnBrk="1" latinLnBrk="0" hangingPunct="1">
                            <a:defRPr sz="1800" kern="1200">
                              <a:solidFill>
                                <a:schemeClr val="lt1"/>
                              </a:solidFill>
                              <a:latin typeface="+mn-lt"/>
                              <a:ea typeface="+mn-ea"/>
                              <a:cs typeface="+mn-cs"/>
                            </a:defRPr>
                          </a:lvl9pPr>
                        </a:lstStyle>
                        <a:p>
                          <a:pPr algn="ctr"/>
                          <a:endParaRPr lang="ar-SA"/>
                        </a:p>
                      </a:txBody>
                      <a:useSpRect/>
                    </a:txSp>
                    <a:style>
                      <a:lnRef idx="2">
                        <a:schemeClr val="dk1">
                          <a:shade val="50000"/>
                        </a:schemeClr>
                      </a:lnRef>
                      <a:fillRef idx="1">
                        <a:schemeClr val="dk1"/>
                      </a:fillRef>
                      <a:effectRef idx="0">
                        <a:schemeClr val="dk1"/>
                      </a:effectRef>
                      <a:fontRef idx="minor">
                        <a:schemeClr val="lt1"/>
                      </a:fontRef>
                    </a:style>
                  </a:sp>
                  <a:sp>
                    <a:nvSpPr>
                      <a:cNvPr id="183" name="شكل بيضاوي 182"/>
                      <a:cNvSpPr/>
                    </a:nvSpPr>
                    <a:spPr>
                      <a:xfrm>
                        <a:off x="3357554" y="3357562"/>
                        <a:ext cx="71438" cy="71438"/>
                      </a:xfrm>
                      <a:prstGeom prst="ellipse">
                        <a:avLst/>
                      </a:prstGeom>
                    </a:spPr>
                    <a:txSp>
                      <a:txBody>
                        <a:bodyPr rtlCol="1" anchor="ctr"/>
                        <a:lstStyle>
                          <a:defPPr>
                            <a:defRPr lang="ar-SA"/>
                          </a:defPPr>
                          <a:lvl1pPr marL="0" algn="r" defTabSz="914400" rtl="1" eaLnBrk="1" latinLnBrk="0" hangingPunct="1">
                            <a:defRPr sz="1800" kern="1200">
                              <a:solidFill>
                                <a:schemeClr val="lt1"/>
                              </a:solidFill>
                              <a:latin typeface="+mn-lt"/>
                              <a:ea typeface="+mn-ea"/>
                              <a:cs typeface="+mn-cs"/>
                            </a:defRPr>
                          </a:lvl1pPr>
                          <a:lvl2pPr marL="457200" algn="r" defTabSz="914400" rtl="1" eaLnBrk="1" latinLnBrk="0" hangingPunct="1">
                            <a:defRPr sz="1800" kern="1200">
                              <a:solidFill>
                                <a:schemeClr val="lt1"/>
                              </a:solidFill>
                              <a:latin typeface="+mn-lt"/>
                              <a:ea typeface="+mn-ea"/>
                              <a:cs typeface="+mn-cs"/>
                            </a:defRPr>
                          </a:lvl2pPr>
                          <a:lvl3pPr marL="914400" algn="r" defTabSz="914400" rtl="1" eaLnBrk="1" latinLnBrk="0" hangingPunct="1">
                            <a:defRPr sz="1800" kern="1200">
                              <a:solidFill>
                                <a:schemeClr val="lt1"/>
                              </a:solidFill>
                              <a:latin typeface="+mn-lt"/>
                              <a:ea typeface="+mn-ea"/>
                              <a:cs typeface="+mn-cs"/>
                            </a:defRPr>
                          </a:lvl3pPr>
                          <a:lvl4pPr marL="1371600" algn="r" defTabSz="914400" rtl="1" eaLnBrk="1" latinLnBrk="0" hangingPunct="1">
                            <a:defRPr sz="1800" kern="1200">
                              <a:solidFill>
                                <a:schemeClr val="lt1"/>
                              </a:solidFill>
                              <a:latin typeface="+mn-lt"/>
                              <a:ea typeface="+mn-ea"/>
                              <a:cs typeface="+mn-cs"/>
                            </a:defRPr>
                          </a:lvl4pPr>
                          <a:lvl5pPr marL="1828800" algn="r" defTabSz="914400" rtl="1" eaLnBrk="1" latinLnBrk="0" hangingPunct="1">
                            <a:defRPr sz="1800" kern="1200">
                              <a:solidFill>
                                <a:schemeClr val="lt1"/>
                              </a:solidFill>
                              <a:latin typeface="+mn-lt"/>
                              <a:ea typeface="+mn-ea"/>
                              <a:cs typeface="+mn-cs"/>
                            </a:defRPr>
                          </a:lvl5pPr>
                          <a:lvl6pPr marL="2286000" algn="r" defTabSz="914400" rtl="1" eaLnBrk="1" latinLnBrk="0" hangingPunct="1">
                            <a:defRPr sz="1800" kern="1200">
                              <a:solidFill>
                                <a:schemeClr val="lt1"/>
                              </a:solidFill>
                              <a:latin typeface="+mn-lt"/>
                              <a:ea typeface="+mn-ea"/>
                              <a:cs typeface="+mn-cs"/>
                            </a:defRPr>
                          </a:lvl6pPr>
                          <a:lvl7pPr marL="2743200" algn="r" defTabSz="914400" rtl="1" eaLnBrk="1" latinLnBrk="0" hangingPunct="1">
                            <a:defRPr sz="1800" kern="1200">
                              <a:solidFill>
                                <a:schemeClr val="lt1"/>
                              </a:solidFill>
                              <a:latin typeface="+mn-lt"/>
                              <a:ea typeface="+mn-ea"/>
                              <a:cs typeface="+mn-cs"/>
                            </a:defRPr>
                          </a:lvl7pPr>
                          <a:lvl8pPr marL="3200400" algn="r" defTabSz="914400" rtl="1" eaLnBrk="1" latinLnBrk="0" hangingPunct="1">
                            <a:defRPr sz="1800" kern="1200">
                              <a:solidFill>
                                <a:schemeClr val="lt1"/>
                              </a:solidFill>
                              <a:latin typeface="+mn-lt"/>
                              <a:ea typeface="+mn-ea"/>
                              <a:cs typeface="+mn-cs"/>
                            </a:defRPr>
                          </a:lvl8pPr>
                          <a:lvl9pPr marL="3657600" algn="r" defTabSz="914400" rtl="1" eaLnBrk="1" latinLnBrk="0" hangingPunct="1">
                            <a:defRPr sz="1800" kern="1200">
                              <a:solidFill>
                                <a:schemeClr val="lt1"/>
                              </a:solidFill>
                              <a:latin typeface="+mn-lt"/>
                              <a:ea typeface="+mn-ea"/>
                              <a:cs typeface="+mn-cs"/>
                            </a:defRPr>
                          </a:lvl9pPr>
                        </a:lstStyle>
                        <a:p>
                          <a:pPr algn="ctr"/>
                          <a:endParaRPr lang="ar-SA"/>
                        </a:p>
                      </a:txBody>
                      <a:useSpRect/>
                    </a:txSp>
                    <a:style>
                      <a:lnRef idx="2">
                        <a:schemeClr val="dk1">
                          <a:shade val="50000"/>
                        </a:schemeClr>
                      </a:lnRef>
                      <a:fillRef idx="1">
                        <a:schemeClr val="dk1"/>
                      </a:fillRef>
                      <a:effectRef idx="0">
                        <a:schemeClr val="dk1"/>
                      </a:effectRef>
                      <a:fontRef idx="minor">
                        <a:schemeClr val="lt1"/>
                      </a:fontRef>
                    </a:style>
                  </a:sp>
                  <a:sp>
                    <a:nvSpPr>
                      <a:cNvPr id="184" name="مستطيل 183"/>
                      <a:cNvSpPr/>
                    </a:nvSpPr>
                    <a:spPr>
                      <a:xfrm>
                        <a:off x="2214546" y="2916792"/>
                        <a:ext cx="503664" cy="369332"/>
                      </a:xfrm>
                      <a:prstGeom prst="rect">
                        <a:avLst/>
                      </a:prstGeom>
                    </a:spPr>
                    <a:txSp>
                      <a:txBody>
                        <a:bodyPr wrap="none">
                          <a:spAutoFit/>
                        </a:bodyPr>
                        <a:lstStyle>
                          <a:defPPr>
                            <a:defRPr lang="ar-SA"/>
                          </a:defPPr>
                          <a:lvl1pPr marL="0" algn="r" defTabSz="914400" rtl="1" eaLnBrk="1" latinLnBrk="0" hangingPunct="1">
                            <a:defRPr sz="1800" kern="1200">
                              <a:solidFill>
                                <a:schemeClr val="tx1"/>
                              </a:solidFill>
                              <a:latin typeface="+mn-lt"/>
                              <a:ea typeface="+mn-ea"/>
                              <a:cs typeface="+mn-cs"/>
                            </a:defRPr>
                          </a:lvl1pPr>
                          <a:lvl2pPr marL="457200" algn="r" defTabSz="914400" rtl="1" eaLnBrk="1" latinLnBrk="0" hangingPunct="1">
                            <a:defRPr sz="1800" kern="1200">
                              <a:solidFill>
                                <a:schemeClr val="tx1"/>
                              </a:solidFill>
                              <a:latin typeface="+mn-lt"/>
                              <a:ea typeface="+mn-ea"/>
                              <a:cs typeface="+mn-cs"/>
                            </a:defRPr>
                          </a:lvl2pPr>
                          <a:lvl3pPr marL="914400" algn="r" defTabSz="914400" rtl="1" eaLnBrk="1" latinLnBrk="0" hangingPunct="1">
                            <a:defRPr sz="1800" kern="1200">
                              <a:solidFill>
                                <a:schemeClr val="tx1"/>
                              </a:solidFill>
                              <a:latin typeface="+mn-lt"/>
                              <a:ea typeface="+mn-ea"/>
                              <a:cs typeface="+mn-cs"/>
                            </a:defRPr>
                          </a:lvl3pPr>
                          <a:lvl4pPr marL="1371600" algn="r" defTabSz="914400" rtl="1" eaLnBrk="1" latinLnBrk="0" hangingPunct="1">
                            <a:defRPr sz="1800" kern="1200">
                              <a:solidFill>
                                <a:schemeClr val="tx1"/>
                              </a:solidFill>
                              <a:latin typeface="+mn-lt"/>
                              <a:ea typeface="+mn-ea"/>
                              <a:cs typeface="+mn-cs"/>
                            </a:defRPr>
                          </a:lvl4pPr>
                          <a:lvl5pPr marL="1828800" algn="r" defTabSz="914400" rtl="1" eaLnBrk="1" latinLnBrk="0" hangingPunct="1">
                            <a:defRPr sz="1800" kern="1200">
                              <a:solidFill>
                                <a:schemeClr val="tx1"/>
                              </a:solidFill>
                              <a:latin typeface="+mn-lt"/>
                              <a:ea typeface="+mn-ea"/>
                              <a:cs typeface="+mn-cs"/>
                            </a:defRPr>
                          </a:lvl5pPr>
                          <a:lvl6pPr marL="2286000" algn="r" defTabSz="914400" rtl="1" eaLnBrk="1" latinLnBrk="0" hangingPunct="1">
                            <a:defRPr sz="1800" kern="1200">
                              <a:solidFill>
                                <a:schemeClr val="tx1"/>
                              </a:solidFill>
                              <a:latin typeface="+mn-lt"/>
                              <a:ea typeface="+mn-ea"/>
                              <a:cs typeface="+mn-cs"/>
                            </a:defRPr>
                          </a:lvl6pPr>
                          <a:lvl7pPr marL="2743200" algn="r" defTabSz="914400" rtl="1" eaLnBrk="1" latinLnBrk="0" hangingPunct="1">
                            <a:defRPr sz="1800" kern="1200">
                              <a:solidFill>
                                <a:schemeClr val="tx1"/>
                              </a:solidFill>
                              <a:latin typeface="+mn-lt"/>
                              <a:ea typeface="+mn-ea"/>
                              <a:cs typeface="+mn-cs"/>
                            </a:defRPr>
                          </a:lvl7pPr>
                          <a:lvl8pPr marL="3200400" algn="r" defTabSz="914400" rtl="1" eaLnBrk="1" latinLnBrk="0" hangingPunct="1">
                            <a:defRPr sz="1800" kern="1200">
                              <a:solidFill>
                                <a:schemeClr val="tx1"/>
                              </a:solidFill>
                              <a:latin typeface="+mn-lt"/>
                              <a:ea typeface="+mn-ea"/>
                              <a:cs typeface="+mn-cs"/>
                            </a:defRPr>
                          </a:lvl8pPr>
                          <a:lvl9pPr marL="3657600" algn="r" defTabSz="914400" rtl="1" eaLnBrk="1" latinLnBrk="0" hangingPunct="1">
                            <a:defRPr sz="1800" kern="1200">
                              <a:solidFill>
                                <a:schemeClr val="tx1"/>
                              </a:solidFill>
                              <a:latin typeface="+mn-lt"/>
                              <a:ea typeface="+mn-ea"/>
                              <a:cs typeface="+mn-cs"/>
                            </a:defRPr>
                          </a:lvl9pPr>
                        </a:lstStyle>
                        <a:p>
                          <a:r>
                            <a:rPr lang="en-US" b="1" dirty="0" smtClean="0"/>
                            <a:t>M2</a:t>
                          </a:r>
                          <a:endParaRPr lang="ar-SA" dirty="0"/>
                        </a:p>
                      </a:txBody>
                      <a:useSpRect/>
                    </a:txSp>
                  </a:sp>
                  <a:sp>
                    <a:nvSpPr>
                      <a:cNvPr id="185" name="مستطيل 184"/>
                      <a:cNvSpPr/>
                    </a:nvSpPr>
                    <a:spPr>
                      <a:xfrm>
                        <a:off x="2711014" y="2916792"/>
                        <a:ext cx="503664" cy="369332"/>
                      </a:xfrm>
                      <a:prstGeom prst="rect">
                        <a:avLst/>
                      </a:prstGeom>
                    </a:spPr>
                    <a:txSp>
                      <a:txBody>
                        <a:bodyPr wrap="none">
                          <a:spAutoFit/>
                        </a:bodyPr>
                        <a:lstStyle>
                          <a:defPPr>
                            <a:defRPr lang="ar-SA"/>
                          </a:defPPr>
                          <a:lvl1pPr marL="0" algn="r" defTabSz="914400" rtl="1" eaLnBrk="1" latinLnBrk="0" hangingPunct="1">
                            <a:defRPr sz="1800" kern="1200">
                              <a:solidFill>
                                <a:schemeClr val="tx1"/>
                              </a:solidFill>
                              <a:latin typeface="+mn-lt"/>
                              <a:ea typeface="+mn-ea"/>
                              <a:cs typeface="+mn-cs"/>
                            </a:defRPr>
                          </a:lvl1pPr>
                          <a:lvl2pPr marL="457200" algn="r" defTabSz="914400" rtl="1" eaLnBrk="1" latinLnBrk="0" hangingPunct="1">
                            <a:defRPr sz="1800" kern="1200">
                              <a:solidFill>
                                <a:schemeClr val="tx1"/>
                              </a:solidFill>
                              <a:latin typeface="+mn-lt"/>
                              <a:ea typeface="+mn-ea"/>
                              <a:cs typeface="+mn-cs"/>
                            </a:defRPr>
                          </a:lvl2pPr>
                          <a:lvl3pPr marL="914400" algn="r" defTabSz="914400" rtl="1" eaLnBrk="1" latinLnBrk="0" hangingPunct="1">
                            <a:defRPr sz="1800" kern="1200">
                              <a:solidFill>
                                <a:schemeClr val="tx1"/>
                              </a:solidFill>
                              <a:latin typeface="+mn-lt"/>
                              <a:ea typeface="+mn-ea"/>
                              <a:cs typeface="+mn-cs"/>
                            </a:defRPr>
                          </a:lvl3pPr>
                          <a:lvl4pPr marL="1371600" algn="r" defTabSz="914400" rtl="1" eaLnBrk="1" latinLnBrk="0" hangingPunct="1">
                            <a:defRPr sz="1800" kern="1200">
                              <a:solidFill>
                                <a:schemeClr val="tx1"/>
                              </a:solidFill>
                              <a:latin typeface="+mn-lt"/>
                              <a:ea typeface="+mn-ea"/>
                              <a:cs typeface="+mn-cs"/>
                            </a:defRPr>
                          </a:lvl4pPr>
                          <a:lvl5pPr marL="1828800" algn="r" defTabSz="914400" rtl="1" eaLnBrk="1" latinLnBrk="0" hangingPunct="1">
                            <a:defRPr sz="1800" kern="1200">
                              <a:solidFill>
                                <a:schemeClr val="tx1"/>
                              </a:solidFill>
                              <a:latin typeface="+mn-lt"/>
                              <a:ea typeface="+mn-ea"/>
                              <a:cs typeface="+mn-cs"/>
                            </a:defRPr>
                          </a:lvl5pPr>
                          <a:lvl6pPr marL="2286000" algn="r" defTabSz="914400" rtl="1" eaLnBrk="1" latinLnBrk="0" hangingPunct="1">
                            <a:defRPr sz="1800" kern="1200">
                              <a:solidFill>
                                <a:schemeClr val="tx1"/>
                              </a:solidFill>
                              <a:latin typeface="+mn-lt"/>
                              <a:ea typeface="+mn-ea"/>
                              <a:cs typeface="+mn-cs"/>
                            </a:defRPr>
                          </a:lvl6pPr>
                          <a:lvl7pPr marL="2743200" algn="r" defTabSz="914400" rtl="1" eaLnBrk="1" latinLnBrk="0" hangingPunct="1">
                            <a:defRPr sz="1800" kern="1200">
                              <a:solidFill>
                                <a:schemeClr val="tx1"/>
                              </a:solidFill>
                              <a:latin typeface="+mn-lt"/>
                              <a:ea typeface="+mn-ea"/>
                              <a:cs typeface="+mn-cs"/>
                            </a:defRPr>
                          </a:lvl7pPr>
                          <a:lvl8pPr marL="3200400" algn="r" defTabSz="914400" rtl="1" eaLnBrk="1" latinLnBrk="0" hangingPunct="1">
                            <a:defRPr sz="1800" kern="1200">
                              <a:solidFill>
                                <a:schemeClr val="tx1"/>
                              </a:solidFill>
                              <a:latin typeface="+mn-lt"/>
                              <a:ea typeface="+mn-ea"/>
                              <a:cs typeface="+mn-cs"/>
                            </a:defRPr>
                          </a:lvl8pPr>
                          <a:lvl9pPr marL="3657600" algn="r" defTabSz="914400" rtl="1" eaLnBrk="1" latinLnBrk="0" hangingPunct="1">
                            <a:defRPr sz="1800" kern="1200">
                              <a:solidFill>
                                <a:schemeClr val="tx1"/>
                              </a:solidFill>
                              <a:latin typeface="+mn-lt"/>
                              <a:ea typeface="+mn-ea"/>
                              <a:cs typeface="+mn-cs"/>
                            </a:defRPr>
                          </a:lvl9pPr>
                        </a:lstStyle>
                        <a:p>
                          <a:r>
                            <a:rPr lang="en-US" b="1" dirty="0" smtClean="0"/>
                            <a:t>M3</a:t>
                          </a:r>
                          <a:endParaRPr lang="ar-SA" dirty="0"/>
                        </a:p>
                      </a:txBody>
                      <a:useSpRect/>
                    </a:txSp>
                  </a:sp>
                  <a:sp>
                    <a:nvSpPr>
                      <a:cNvPr id="186" name="مستطيل 185"/>
                      <a:cNvSpPr/>
                    </a:nvSpPr>
                    <a:spPr>
                      <a:xfrm>
                        <a:off x="3143240" y="2916792"/>
                        <a:ext cx="503664" cy="369332"/>
                      </a:xfrm>
                      <a:prstGeom prst="rect">
                        <a:avLst/>
                      </a:prstGeom>
                    </a:spPr>
                    <a:txSp>
                      <a:txBody>
                        <a:bodyPr wrap="none">
                          <a:spAutoFit/>
                        </a:bodyPr>
                        <a:lstStyle>
                          <a:defPPr>
                            <a:defRPr lang="ar-SA"/>
                          </a:defPPr>
                          <a:lvl1pPr marL="0" algn="r" defTabSz="914400" rtl="1" eaLnBrk="1" latinLnBrk="0" hangingPunct="1">
                            <a:defRPr sz="1800" kern="1200">
                              <a:solidFill>
                                <a:schemeClr val="tx1"/>
                              </a:solidFill>
                              <a:latin typeface="+mn-lt"/>
                              <a:ea typeface="+mn-ea"/>
                              <a:cs typeface="+mn-cs"/>
                            </a:defRPr>
                          </a:lvl1pPr>
                          <a:lvl2pPr marL="457200" algn="r" defTabSz="914400" rtl="1" eaLnBrk="1" latinLnBrk="0" hangingPunct="1">
                            <a:defRPr sz="1800" kern="1200">
                              <a:solidFill>
                                <a:schemeClr val="tx1"/>
                              </a:solidFill>
                              <a:latin typeface="+mn-lt"/>
                              <a:ea typeface="+mn-ea"/>
                              <a:cs typeface="+mn-cs"/>
                            </a:defRPr>
                          </a:lvl2pPr>
                          <a:lvl3pPr marL="914400" algn="r" defTabSz="914400" rtl="1" eaLnBrk="1" latinLnBrk="0" hangingPunct="1">
                            <a:defRPr sz="1800" kern="1200">
                              <a:solidFill>
                                <a:schemeClr val="tx1"/>
                              </a:solidFill>
                              <a:latin typeface="+mn-lt"/>
                              <a:ea typeface="+mn-ea"/>
                              <a:cs typeface="+mn-cs"/>
                            </a:defRPr>
                          </a:lvl3pPr>
                          <a:lvl4pPr marL="1371600" algn="r" defTabSz="914400" rtl="1" eaLnBrk="1" latinLnBrk="0" hangingPunct="1">
                            <a:defRPr sz="1800" kern="1200">
                              <a:solidFill>
                                <a:schemeClr val="tx1"/>
                              </a:solidFill>
                              <a:latin typeface="+mn-lt"/>
                              <a:ea typeface="+mn-ea"/>
                              <a:cs typeface="+mn-cs"/>
                            </a:defRPr>
                          </a:lvl4pPr>
                          <a:lvl5pPr marL="1828800" algn="r" defTabSz="914400" rtl="1" eaLnBrk="1" latinLnBrk="0" hangingPunct="1">
                            <a:defRPr sz="1800" kern="1200">
                              <a:solidFill>
                                <a:schemeClr val="tx1"/>
                              </a:solidFill>
                              <a:latin typeface="+mn-lt"/>
                              <a:ea typeface="+mn-ea"/>
                              <a:cs typeface="+mn-cs"/>
                            </a:defRPr>
                          </a:lvl5pPr>
                          <a:lvl6pPr marL="2286000" algn="r" defTabSz="914400" rtl="1" eaLnBrk="1" latinLnBrk="0" hangingPunct="1">
                            <a:defRPr sz="1800" kern="1200">
                              <a:solidFill>
                                <a:schemeClr val="tx1"/>
                              </a:solidFill>
                              <a:latin typeface="+mn-lt"/>
                              <a:ea typeface="+mn-ea"/>
                              <a:cs typeface="+mn-cs"/>
                            </a:defRPr>
                          </a:lvl6pPr>
                          <a:lvl7pPr marL="2743200" algn="r" defTabSz="914400" rtl="1" eaLnBrk="1" latinLnBrk="0" hangingPunct="1">
                            <a:defRPr sz="1800" kern="1200">
                              <a:solidFill>
                                <a:schemeClr val="tx1"/>
                              </a:solidFill>
                              <a:latin typeface="+mn-lt"/>
                              <a:ea typeface="+mn-ea"/>
                              <a:cs typeface="+mn-cs"/>
                            </a:defRPr>
                          </a:lvl7pPr>
                          <a:lvl8pPr marL="3200400" algn="r" defTabSz="914400" rtl="1" eaLnBrk="1" latinLnBrk="0" hangingPunct="1">
                            <a:defRPr sz="1800" kern="1200">
                              <a:solidFill>
                                <a:schemeClr val="tx1"/>
                              </a:solidFill>
                              <a:latin typeface="+mn-lt"/>
                              <a:ea typeface="+mn-ea"/>
                              <a:cs typeface="+mn-cs"/>
                            </a:defRPr>
                          </a:lvl8pPr>
                          <a:lvl9pPr marL="3657600" algn="r" defTabSz="914400" rtl="1" eaLnBrk="1" latinLnBrk="0" hangingPunct="1">
                            <a:defRPr sz="1800" kern="1200">
                              <a:solidFill>
                                <a:schemeClr val="tx1"/>
                              </a:solidFill>
                              <a:latin typeface="+mn-lt"/>
                              <a:ea typeface="+mn-ea"/>
                              <a:cs typeface="+mn-cs"/>
                            </a:defRPr>
                          </a:lvl9pPr>
                        </a:lstStyle>
                        <a:p>
                          <a:r>
                            <a:rPr lang="en-US" b="1" dirty="0" smtClean="0"/>
                            <a:t>M4</a:t>
                          </a:r>
                          <a:endParaRPr lang="ar-SA" dirty="0"/>
                        </a:p>
                      </a:txBody>
                      <a:useSpRect/>
                    </a:txSp>
                  </a:sp>
                  <a:sp>
                    <a:nvSpPr>
                      <a:cNvPr id="187" name="مستطيل 186"/>
                      <a:cNvSpPr/>
                    </a:nvSpPr>
                    <a:spPr>
                      <a:xfrm>
                        <a:off x="4714875" y="2916792"/>
                        <a:ext cx="503664" cy="369332"/>
                      </a:xfrm>
                      <a:prstGeom prst="rect">
                        <a:avLst/>
                      </a:prstGeom>
                    </a:spPr>
                    <a:txSp>
                      <a:txBody>
                        <a:bodyPr wrap="none">
                          <a:spAutoFit/>
                        </a:bodyPr>
                        <a:lstStyle>
                          <a:defPPr>
                            <a:defRPr lang="ar-SA"/>
                          </a:defPPr>
                          <a:lvl1pPr marL="0" algn="r" defTabSz="914400" rtl="1" eaLnBrk="1" latinLnBrk="0" hangingPunct="1">
                            <a:defRPr sz="1800" kern="1200">
                              <a:solidFill>
                                <a:schemeClr val="tx1"/>
                              </a:solidFill>
                              <a:latin typeface="+mn-lt"/>
                              <a:ea typeface="+mn-ea"/>
                              <a:cs typeface="+mn-cs"/>
                            </a:defRPr>
                          </a:lvl1pPr>
                          <a:lvl2pPr marL="457200" algn="r" defTabSz="914400" rtl="1" eaLnBrk="1" latinLnBrk="0" hangingPunct="1">
                            <a:defRPr sz="1800" kern="1200">
                              <a:solidFill>
                                <a:schemeClr val="tx1"/>
                              </a:solidFill>
                              <a:latin typeface="+mn-lt"/>
                              <a:ea typeface="+mn-ea"/>
                              <a:cs typeface="+mn-cs"/>
                            </a:defRPr>
                          </a:lvl2pPr>
                          <a:lvl3pPr marL="914400" algn="r" defTabSz="914400" rtl="1" eaLnBrk="1" latinLnBrk="0" hangingPunct="1">
                            <a:defRPr sz="1800" kern="1200">
                              <a:solidFill>
                                <a:schemeClr val="tx1"/>
                              </a:solidFill>
                              <a:latin typeface="+mn-lt"/>
                              <a:ea typeface="+mn-ea"/>
                              <a:cs typeface="+mn-cs"/>
                            </a:defRPr>
                          </a:lvl3pPr>
                          <a:lvl4pPr marL="1371600" algn="r" defTabSz="914400" rtl="1" eaLnBrk="1" latinLnBrk="0" hangingPunct="1">
                            <a:defRPr sz="1800" kern="1200">
                              <a:solidFill>
                                <a:schemeClr val="tx1"/>
                              </a:solidFill>
                              <a:latin typeface="+mn-lt"/>
                              <a:ea typeface="+mn-ea"/>
                              <a:cs typeface="+mn-cs"/>
                            </a:defRPr>
                          </a:lvl4pPr>
                          <a:lvl5pPr marL="1828800" algn="r" defTabSz="914400" rtl="1" eaLnBrk="1" latinLnBrk="0" hangingPunct="1">
                            <a:defRPr sz="1800" kern="1200">
                              <a:solidFill>
                                <a:schemeClr val="tx1"/>
                              </a:solidFill>
                              <a:latin typeface="+mn-lt"/>
                              <a:ea typeface="+mn-ea"/>
                              <a:cs typeface="+mn-cs"/>
                            </a:defRPr>
                          </a:lvl5pPr>
                          <a:lvl6pPr marL="2286000" algn="r" defTabSz="914400" rtl="1" eaLnBrk="1" latinLnBrk="0" hangingPunct="1">
                            <a:defRPr sz="1800" kern="1200">
                              <a:solidFill>
                                <a:schemeClr val="tx1"/>
                              </a:solidFill>
                              <a:latin typeface="+mn-lt"/>
                              <a:ea typeface="+mn-ea"/>
                              <a:cs typeface="+mn-cs"/>
                            </a:defRPr>
                          </a:lvl6pPr>
                          <a:lvl7pPr marL="2743200" algn="r" defTabSz="914400" rtl="1" eaLnBrk="1" latinLnBrk="0" hangingPunct="1">
                            <a:defRPr sz="1800" kern="1200">
                              <a:solidFill>
                                <a:schemeClr val="tx1"/>
                              </a:solidFill>
                              <a:latin typeface="+mn-lt"/>
                              <a:ea typeface="+mn-ea"/>
                              <a:cs typeface="+mn-cs"/>
                            </a:defRPr>
                          </a:lvl7pPr>
                          <a:lvl8pPr marL="3200400" algn="r" defTabSz="914400" rtl="1" eaLnBrk="1" latinLnBrk="0" hangingPunct="1">
                            <a:defRPr sz="1800" kern="1200">
                              <a:solidFill>
                                <a:schemeClr val="tx1"/>
                              </a:solidFill>
                              <a:latin typeface="+mn-lt"/>
                              <a:ea typeface="+mn-ea"/>
                              <a:cs typeface="+mn-cs"/>
                            </a:defRPr>
                          </a:lvl8pPr>
                          <a:lvl9pPr marL="3657600" algn="r" defTabSz="914400" rtl="1" eaLnBrk="1" latinLnBrk="0" hangingPunct="1">
                            <a:defRPr sz="1800" kern="1200">
                              <a:solidFill>
                                <a:schemeClr val="tx1"/>
                              </a:solidFill>
                              <a:latin typeface="+mn-lt"/>
                              <a:ea typeface="+mn-ea"/>
                              <a:cs typeface="+mn-cs"/>
                            </a:defRPr>
                          </a:lvl9pPr>
                        </a:lstStyle>
                        <a:p>
                          <a:r>
                            <a:rPr lang="en-US" b="1" dirty="0" smtClean="0"/>
                            <a:t>M5</a:t>
                          </a:r>
                          <a:endParaRPr lang="ar-SA" dirty="0"/>
                        </a:p>
                      </a:txBody>
                      <a:useSpRect/>
                    </a:txSp>
                  </a:sp>
                  <a:sp>
                    <a:nvSpPr>
                      <a:cNvPr id="24" name="شكل بيضاوي 23"/>
                      <a:cNvSpPr/>
                    </a:nvSpPr>
                    <a:spPr>
                      <a:xfrm>
                        <a:off x="1928794" y="3357562"/>
                        <a:ext cx="71438" cy="71438"/>
                      </a:xfrm>
                      <a:prstGeom prst="ellipse">
                        <a:avLst/>
                      </a:prstGeom>
                    </a:spPr>
                    <a:txSp>
                      <a:txBody>
                        <a:bodyPr rtlCol="1" anchor="ctr"/>
                        <a:lstStyle>
                          <a:defPPr>
                            <a:defRPr lang="ar-SA"/>
                          </a:defPPr>
                          <a:lvl1pPr marL="0" algn="r" defTabSz="914400" rtl="1" eaLnBrk="1" latinLnBrk="0" hangingPunct="1">
                            <a:defRPr sz="1800" kern="1200">
                              <a:solidFill>
                                <a:schemeClr val="lt1"/>
                              </a:solidFill>
                              <a:latin typeface="+mn-lt"/>
                              <a:ea typeface="+mn-ea"/>
                              <a:cs typeface="+mn-cs"/>
                            </a:defRPr>
                          </a:lvl1pPr>
                          <a:lvl2pPr marL="457200" algn="r" defTabSz="914400" rtl="1" eaLnBrk="1" latinLnBrk="0" hangingPunct="1">
                            <a:defRPr sz="1800" kern="1200">
                              <a:solidFill>
                                <a:schemeClr val="lt1"/>
                              </a:solidFill>
                              <a:latin typeface="+mn-lt"/>
                              <a:ea typeface="+mn-ea"/>
                              <a:cs typeface="+mn-cs"/>
                            </a:defRPr>
                          </a:lvl2pPr>
                          <a:lvl3pPr marL="914400" algn="r" defTabSz="914400" rtl="1" eaLnBrk="1" latinLnBrk="0" hangingPunct="1">
                            <a:defRPr sz="1800" kern="1200">
                              <a:solidFill>
                                <a:schemeClr val="lt1"/>
                              </a:solidFill>
                              <a:latin typeface="+mn-lt"/>
                              <a:ea typeface="+mn-ea"/>
                              <a:cs typeface="+mn-cs"/>
                            </a:defRPr>
                          </a:lvl3pPr>
                          <a:lvl4pPr marL="1371600" algn="r" defTabSz="914400" rtl="1" eaLnBrk="1" latinLnBrk="0" hangingPunct="1">
                            <a:defRPr sz="1800" kern="1200">
                              <a:solidFill>
                                <a:schemeClr val="lt1"/>
                              </a:solidFill>
                              <a:latin typeface="+mn-lt"/>
                              <a:ea typeface="+mn-ea"/>
                              <a:cs typeface="+mn-cs"/>
                            </a:defRPr>
                          </a:lvl4pPr>
                          <a:lvl5pPr marL="1828800" algn="r" defTabSz="914400" rtl="1" eaLnBrk="1" latinLnBrk="0" hangingPunct="1">
                            <a:defRPr sz="1800" kern="1200">
                              <a:solidFill>
                                <a:schemeClr val="lt1"/>
                              </a:solidFill>
                              <a:latin typeface="+mn-lt"/>
                              <a:ea typeface="+mn-ea"/>
                              <a:cs typeface="+mn-cs"/>
                            </a:defRPr>
                          </a:lvl5pPr>
                          <a:lvl6pPr marL="2286000" algn="r" defTabSz="914400" rtl="1" eaLnBrk="1" latinLnBrk="0" hangingPunct="1">
                            <a:defRPr sz="1800" kern="1200">
                              <a:solidFill>
                                <a:schemeClr val="lt1"/>
                              </a:solidFill>
                              <a:latin typeface="+mn-lt"/>
                              <a:ea typeface="+mn-ea"/>
                              <a:cs typeface="+mn-cs"/>
                            </a:defRPr>
                          </a:lvl6pPr>
                          <a:lvl7pPr marL="2743200" algn="r" defTabSz="914400" rtl="1" eaLnBrk="1" latinLnBrk="0" hangingPunct="1">
                            <a:defRPr sz="1800" kern="1200">
                              <a:solidFill>
                                <a:schemeClr val="lt1"/>
                              </a:solidFill>
                              <a:latin typeface="+mn-lt"/>
                              <a:ea typeface="+mn-ea"/>
                              <a:cs typeface="+mn-cs"/>
                            </a:defRPr>
                          </a:lvl7pPr>
                          <a:lvl8pPr marL="3200400" algn="r" defTabSz="914400" rtl="1" eaLnBrk="1" latinLnBrk="0" hangingPunct="1">
                            <a:defRPr sz="1800" kern="1200">
                              <a:solidFill>
                                <a:schemeClr val="lt1"/>
                              </a:solidFill>
                              <a:latin typeface="+mn-lt"/>
                              <a:ea typeface="+mn-ea"/>
                              <a:cs typeface="+mn-cs"/>
                            </a:defRPr>
                          </a:lvl8pPr>
                          <a:lvl9pPr marL="3657600" algn="r" defTabSz="914400" rtl="1" eaLnBrk="1" latinLnBrk="0" hangingPunct="1">
                            <a:defRPr sz="1800" kern="1200">
                              <a:solidFill>
                                <a:schemeClr val="lt1"/>
                              </a:solidFill>
                              <a:latin typeface="+mn-lt"/>
                              <a:ea typeface="+mn-ea"/>
                              <a:cs typeface="+mn-cs"/>
                            </a:defRPr>
                          </a:lvl9pPr>
                        </a:lstStyle>
                        <a:p>
                          <a:pPr algn="ctr"/>
                          <a:endParaRPr lang="ar-SA"/>
                        </a:p>
                      </a:txBody>
                      <a:useSpRect/>
                    </a:txSp>
                    <a:style>
                      <a:lnRef idx="2">
                        <a:schemeClr val="dk1">
                          <a:shade val="50000"/>
                        </a:schemeClr>
                      </a:lnRef>
                      <a:fillRef idx="1">
                        <a:schemeClr val="dk1"/>
                      </a:fillRef>
                      <a:effectRef idx="0">
                        <a:schemeClr val="dk1"/>
                      </a:effectRef>
                      <a:fontRef idx="minor">
                        <a:schemeClr val="lt1"/>
                      </a:fontRef>
                    </a:style>
                  </a:sp>
                  <a:sp>
                    <a:nvSpPr>
                      <a:cNvPr id="25" name="مستطيل 24"/>
                      <a:cNvSpPr/>
                    </a:nvSpPr>
                    <a:spPr>
                      <a:xfrm>
                        <a:off x="1710882" y="2928934"/>
                        <a:ext cx="503664" cy="369332"/>
                      </a:xfrm>
                      <a:prstGeom prst="rect">
                        <a:avLst/>
                      </a:prstGeom>
                    </a:spPr>
                    <a:txSp>
                      <a:txBody>
                        <a:bodyPr wrap="none">
                          <a:spAutoFit/>
                        </a:bodyPr>
                        <a:lstStyle>
                          <a:defPPr>
                            <a:defRPr lang="ar-SA"/>
                          </a:defPPr>
                          <a:lvl1pPr marL="0" algn="r" defTabSz="914400" rtl="1" eaLnBrk="1" latinLnBrk="0" hangingPunct="1">
                            <a:defRPr sz="1800" kern="1200">
                              <a:solidFill>
                                <a:schemeClr val="tx1"/>
                              </a:solidFill>
                              <a:latin typeface="+mn-lt"/>
                              <a:ea typeface="+mn-ea"/>
                              <a:cs typeface="+mn-cs"/>
                            </a:defRPr>
                          </a:lvl1pPr>
                          <a:lvl2pPr marL="457200" algn="r" defTabSz="914400" rtl="1" eaLnBrk="1" latinLnBrk="0" hangingPunct="1">
                            <a:defRPr sz="1800" kern="1200">
                              <a:solidFill>
                                <a:schemeClr val="tx1"/>
                              </a:solidFill>
                              <a:latin typeface="+mn-lt"/>
                              <a:ea typeface="+mn-ea"/>
                              <a:cs typeface="+mn-cs"/>
                            </a:defRPr>
                          </a:lvl2pPr>
                          <a:lvl3pPr marL="914400" algn="r" defTabSz="914400" rtl="1" eaLnBrk="1" latinLnBrk="0" hangingPunct="1">
                            <a:defRPr sz="1800" kern="1200">
                              <a:solidFill>
                                <a:schemeClr val="tx1"/>
                              </a:solidFill>
                              <a:latin typeface="+mn-lt"/>
                              <a:ea typeface="+mn-ea"/>
                              <a:cs typeface="+mn-cs"/>
                            </a:defRPr>
                          </a:lvl3pPr>
                          <a:lvl4pPr marL="1371600" algn="r" defTabSz="914400" rtl="1" eaLnBrk="1" latinLnBrk="0" hangingPunct="1">
                            <a:defRPr sz="1800" kern="1200">
                              <a:solidFill>
                                <a:schemeClr val="tx1"/>
                              </a:solidFill>
                              <a:latin typeface="+mn-lt"/>
                              <a:ea typeface="+mn-ea"/>
                              <a:cs typeface="+mn-cs"/>
                            </a:defRPr>
                          </a:lvl4pPr>
                          <a:lvl5pPr marL="1828800" algn="r" defTabSz="914400" rtl="1" eaLnBrk="1" latinLnBrk="0" hangingPunct="1">
                            <a:defRPr sz="1800" kern="1200">
                              <a:solidFill>
                                <a:schemeClr val="tx1"/>
                              </a:solidFill>
                              <a:latin typeface="+mn-lt"/>
                              <a:ea typeface="+mn-ea"/>
                              <a:cs typeface="+mn-cs"/>
                            </a:defRPr>
                          </a:lvl5pPr>
                          <a:lvl6pPr marL="2286000" algn="r" defTabSz="914400" rtl="1" eaLnBrk="1" latinLnBrk="0" hangingPunct="1">
                            <a:defRPr sz="1800" kern="1200">
                              <a:solidFill>
                                <a:schemeClr val="tx1"/>
                              </a:solidFill>
                              <a:latin typeface="+mn-lt"/>
                              <a:ea typeface="+mn-ea"/>
                              <a:cs typeface="+mn-cs"/>
                            </a:defRPr>
                          </a:lvl6pPr>
                          <a:lvl7pPr marL="2743200" algn="r" defTabSz="914400" rtl="1" eaLnBrk="1" latinLnBrk="0" hangingPunct="1">
                            <a:defRPr sz="1800" kern="1200">
                              <a:solidFill>
                                <a:schemeClr val="tx1"/>
                              </a:solidFill>
                              <a:latin typeface="+mn-lt"/>
                              <a:ea typeface="+mn-ea"/>
                              <a:cs typeface="+mn-cs"/>
                            </a:defRPr>
                          </a:lvl7pPr>
                          <a:lvl8pPr marL="3200400" algn="r" defTabSz="914400" rtl="1" eaLnBrk="1" latinLnBrk="0" hangingPunct="1">
                            <a:defRPr sz="1800" kern="1200">
                              <a:solidFill>
                                <a:schemeClr val="tx1"/>
                              </a:solidFill>
                              <a:latin typeface="+mn-lt"/>
                              <a:ea typeface="+mn-ea"/>
                              <a:cs typeface="+mn-cs"/>
                            </a:defRPr>
                          </a:lvl8pPr>
                          <a:lvl9pPr marL="3657600" algn="r" defTabSz="914400" rtl="1" eaLnBrk="1" latinLnBrk="0" hangingPunct="1">
                            <a:defRPr sz="1800" kern="1200">
                              <a:solidFill>
                                <a:schemeClr val="tx1"/>
                              </a:solidFill>
                              <a:latin typeface="+mn-lt"/>
                              <a:ea typeface="+mn-ea"/>
                              <a:cs typeface="+mn-cs"/>
                            </a:defRPr>
                          </a:lvl9pPr>
                        </a:lstStyle>
                        <a:p>
                          <a:r>
                            <a:rPr lang="en-US" b="1" dirty="0" smtClean="0"/>
                            <a:t>M1</a:t>
                          </a:r>
                          <a:endParaRPr lang="ar-SA" dirty="0"/>
                        </a:p>
                      </a:txBody>
                      <a:useSpRect/>
                    </a:txSp>
                  </a:sp>
                </lc:lockedCanvas>
              </a:graphicData>
            </a:graphic>
          </wp:inline>
        </w:drawing>
      </w:r>
    </w:p>
    <w:p w:rsidR="00E21832" w:rsidRDefault="00E21832" w:rsidP="00CE45FA">
      <w:pPr>
        <w:jc w:val="center"/>
        <w:rPr>
          <w:rFonts w:asciiTheme="majorBidi" w:hAnsiTheme="majorBidi" w:cstheme="majorBidi"/>
        </w:rPr>
      </w:pPr>
      <w:r w:rsidRPr="00C55D3E">
        <w:rPr>
          <w:rFonts w:asciiTheme="majorBidi" w:hAnsiTheme="majorBidi" w:cstheme="majorBidi"/>
          <w:b/>
          <w:bCs/>
        </w:rPr>
        <w:t>Figure</w:t>
      </w:r>
      <w:r w:rsidRPr="00C55D3E">
        <w:rPr>
          <w:rFonts w:ascii="Times New Roman" w:hAnsi="Times New Roman" w:cs="Times New Roman"/>
          <w:b/>
          <w:bCs/>
        </w:rPr>
        <w:t xml:space="preserve"> V</w:t>
      </w:r>
      <w:r w:rsidRPr="00C55D3E">
        <w:rPr>
          <w:rFonts w:asciiTheme="majorBidi" w:hAnsiTheme="majorBidi" w:cstheme="majorBidi"/>
          <w:b/>
          <w:bCs/>
        </w:rPr>
        <w:t xml:space="preserve"> </w:t>
      </w:r>
      <w:r w:rsidR="00B90FC6">
        <w:rPr>
          <w:rFonts w:asciiTheme="majorBidi" w:hAnsiTheme="majorBidi" w:cstheme="majorBidi"/>
          <w:b/>
          <w:bCs/>
        </w:rPr>
        <w:t>.25</w:t>
      </w:r>
      <w:r w:rsidRPr="00C55D3E">
        <w:rPr>
          <w:rFonts w:asciiTheme="majorBidi" w:hAnsiTheme="majorBidi" w:cstheme="majorBidi"/>
          <w:b/>
          <w:bCs/>
        </w:rPr>
        <w:t>:</w:t>
      </w:r>
      <w:r w:rsidR="00CE45FA" w:rsidRPr="00CE45FA">
        <w:rPr>
          <w:rFonts w:asciiTheme="majorBidi" w:hAnsiTheme="majorBidi" w:cstheme="majorBidi"/>
        </w:rPr>
        <w:t xml:space="preserve"> </w:t>
      </w:r>
      <w:r w:rsidR="00CE45FA" w:rsidRPr="00D26217">
        <w:rPr>
          <w:rFonts w:asciiTheme="majorBidi" w:hAnsiTheme="majorBidi" w:cstheme="majorBidi"/>
        </w:rPr>
        <w:t>géométrie de Domaine</w:t>
      </w:r>
    </w:p>
    <w:p w:rsidR="00333EA7" w:rsidRDefault="00333EA7" w:rsidP="00CE45FA">
      <w:pPr>
        <w:jc w:val="center"/>
        <w:rPr>
          <w:rFonts w:asciiTheme="majorBidi" w:hAnsiTheme="majorBidi" w:cstheme="majorBidi"/>
        </w:rPr>
      </w:pPr>
    </w:p>
    <w:p w:rsidR="00151D47" w:rsidRDefault="001A058F" w:rsidP="001A058F">
      <w:pPr>
        <w:rPr>
          <w:rFonts w:asciiTheme="majorBidi" w:hAnsiTheme="majorBidi" w:cstheme="majorBidi"/>
        </w:rPr>
      </w:pPr>
      <w:r>
        <w:rPr>
          <w:rFonts w:asciiTheme="majorBidi" w:hAnsiTheme="majorBidi" w:cstheme="majorBidi"/>
        </w:rPr>
        <w:t>On représente sur  la figure (V.26) la surface de la nappe et  les cour</w:t>
      </w:r>
      <w:r w:rsidR="00333EA7">
        <w:rPr>
          <w:rFonts w:asciiTheme="majorBidi" w:hAnsiTheme="majorBidi" w:cstheme="majorBidi"/>
        </w:rPr>
        <w:t xml:space="preserve">bes iso hauteurs. Les ses de l’écoulement est bien reproduit sur cette figure. L’évolution de la hauteur d’eau dans la nappe en fonction de temps aux  niveaux des  nœuds M1, M2, M3, M4 et M5estreprésenté sur la figure (V.27)   </w:t>
      </w:r>
      <w:r>
        <w:rPr>
          <w:rFonts w:asciiTheme="majorBidi" w:hAnsiTheme="majorBidi" w:cstheme="majorBidi"/>
        </w:rPr>
        <w:t xml:space="preserve"> </w:t>
      </w:r>
    </w:p>
    <w:p w:rsidR="00D46460" w:rsidRPr="00151D47" w:rsidRDefault="007D51EC" w:rsidP="00151D47">
      <w:pPr>
        <w:tabs>
          <w:tab w:val="left" w:pos="1473"/>
        </w:tabs>
        <w:rPr>
          <w:rFonts w:asciiTheme="majorBidi" w:hAnsiTheme="majorBidi" w:cstheme="majorBidi"/>
          <w:lang w:bidi="ar-DZ"/>
        </w:rPr>
      </w:pPr>
      <w:r>
        <w:rPr>
          <w:rFonts w:ascii="Times New Roman" w:hAnsi="Times New Roman" w:cs="Times New Roman"/>
          <w:noProof/>
          <w:sz w:val="24"/>
          <w:szCs w:val="24"/>
          <w:lang w:eastAsia="fr-FR"/>
        </w:rPr>
        <w:lastRenderedPageBreak/>
        <w:drawing>
          <wp:inline distT="0" distB="0" distL="0" distR="0">
            <wp:extent cx="6113202" cy="3492000"/>
            <wp:effectExtent l="19050" t="0" r="1848" b="0"/>
            <wp:docPr id="11"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srcRect/>
                    <a:stretch>
                      <a:fillRect/>
                    </a:stretch>
                  </pic:blipFill>
                  <pic:spPr bwMode="auto">
                    <a:xfrm>
                      <a:off x="0" y="0"/>
                      <a:ext cx="6113202" cy="3492000"/>
                    </a:xfrm>
                    <a:prstGeom prst="rect">
                      <a:avLst/>
                    </a:prstGeom>
                    <a:noFill/>
                    <a:ln w="9525">
                      <a:noFill/>
                      <a:miter lim="800000"/>
                      <a:headEnd/>
                      <a:tailEnd/>
                    </a:ln>
                  </pic:spPr>
                </pic:pic>
              </a:graphicData>
            </a:graphic>
          </wp:inline>
        </w:drawing>
      </w:r>
      <w:r w:rsidR="00CE45FA" w:rsidRPr="00CE45FA">
        <w:rPr>
          <w:rFonts w:asciiTheme="majorBidi" w:hAnsiTheme="majorBidi" w:cstheme="majorBidi"/>
          <w:b/>
          <w:bCs/>
        </w:rPr>
        <w:t xml:space="preserve"> </w:t>
      </w:r>
      <w:r w:rsidR="00CE45FA">
        <w:rPr>
          <w:rFonts w:asciiTheme="majorBidi" w:hAnsiTheme="majorBidi" w:cstheme="majorBidi"/>
          <w:b/>
          <w:bCs/>
        </w:rPr>
        <w:t>Figure 2</w:t>
      </w:r>
      <w:r w:rsidR="00B90FC6">
        <w:rPr>
          <w:rFonts w:asciiTheme="majorBidi" w:hAnsiTheme="majorBidi" w:cstheme="majorBidi"/>
          <w:b/>
          <w:bCs/>
        </w:rPr>
        <w:t>6</w:t>
      </w:r>
      <w:r w:rsidR="00CE45FA" w:rsidRPr="00222EC7">
        <w:rPr>
          <w:rFonts w:asciiTheme="majorBidi" w:hAnsiTheme="majorBidi" w:cstheme="majorBidi"/>
          <w:b/>
          <w:bCs/>
        </w:rPr>
        <w:t>.</w:t>
      </w:r>
      <w:r w:rsidR="00CE45FA" w:rsidRPr="00222EC7">
        <w:rPr>
          <w:rFonts w:asciiTheme="majorBidi" w:hAnsiTheme="majorBidi" w:cstheme="majorBidi"/>
        </w:rPr>
        <w:t xml:space="preserve"> Vue à trois dimension de la hauteur d’eau  </w:t>
      </w:r>
      <w:r w:rsidR="00CE45FA">
        <w:rPr>
          <w:rFonts w:asciiTheme="majorBidi" w:hAnsiTheme="majorBidi" w:cstheme="majorBidi"/>
        </w:rPr>
        <w:t xml:space="preserve">et </w:t>
      </w:r>
      <w:r w:rsidR="00CE45FA" w:rsidRPr="00E840C1">
        <w:rPr>
          <w:rFonts w:asciiTheme="majorBidi" w:hAnsiTheme="majorBidi" w:cstheme="majorBidi"/>
          <w:sz w:val="24"/>
          <w:szCs w:val="24"/>
          <w:lang w:bidi="ar-DZ"/>
        </w:rPr>
        <w:t xml:space="preserve"> iso hauteur</w:t>
      </w:r>
      <w:r w:rsidR="00CE45FA" w:rsidRPr="00222EC7">
        <w:rPr>
          <w:rFonts w:asciiTheme="majorBidi" w:hAnsiTheme="majorBidi" w:cstheme="majorBidi"/>
        </w:rPr>
        <w:t xml:space="preserve"> (240 heures=10jours )</w:t>
      </w:r>
    </w:p>
    <w:p w:rsidR="00151D47" w:rsidRDefault="0079378A" w:rsidP="00E02D2B">
      <w:pPr>
        <w:jc w:val="center"/>
        <w:rPr>
          <w:rFonts w:asciiTheme="majorBidi" w:hAnsiTheme="majorBidi" w:cstheme="majorBidi"/>
          <w:b/>
          <w:bCs/>
          <w:sz w:val="24"/>
          <w:szCs w:val="24"/>
        </w:rPr>
      </w:pPr>
      <w:r>
        <w:rPr>
          <w:rFonts w:ascii="Times New Roman" w:hAnsi="Times New Roman" w:cs="Times New Roman"/>
          <w:noProof/>
          <w:sz w:val="24"/>
          <w:szCs w:val="24"/>
          <w:lang w:eastAsia="fr-FR"/>
        </w:rPr>
        <w:drawing>
          <wp:inline distT="0" distB="0" distL="0" distR="0">
            <wp:extent cx="3960000" cy="4677165"/>
            <wp:effectExtent l="19050" t="0" r="2400" b="0"/>
            <wp:docPr id="42" name="صورة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a:stretch>
                      <a:fillRect/>
                    </a:stretch>
                  </pic:blipFill>
                  <pic:spPr bwMode="auto">
                    <a:xfrm>
                      <a:off x="0" y="0"/>
                      <a:ext cx="3960000" cy="4677165"/>
                    </a:xfrm>
                    <a:prstGeom prst="rect">
                      <a:avLst/>
                    </a:prstGeom>
                    <a:noFill/>
                    <a:ln w="9525">
                      <a:noFill/>
                      <a:miter lim="800000"/>
                      <a:headEnd/>
                      <a:tailEnd/>
                    </a:ln>
                  </pic:spPr>
                </pic:pic>
              </a:graphicData>
            </a:graphic>
          </wp:inline>
        </w:drawing>
      </w:r>
    </w:p>
    <w:p w:rsidR="00B1740C" w:rsidRPr="00151D47" w:rsidRDefault="00222EC7" w:rsidP="00151D47">
      <w:pPr>
        <w:jc w:val="center"/>
        <w:rPr>
          <w:rFonts w:ascii="Times New Roman" w:hAnsi="Times New Roman" w:cs="Times New Roman"/>
          <w:sz w:val="24"/>
          <w:szCs w:val="24"/>
        </w:rPr>
      </w:pPr>
      <w:r w:rsidRPr="00222EC7">
        <w:rPr>
          <w:rFonts w:asciiTheme="majorBidi" w:hAnsiTheme="majorBidi" w:cstheme="majorBidi"/>
          <w:b/>
          <w:bCs/>
          <w:sz w:val="24"/>
          <w:szCs w:val="24"/>
        </w:rPr>
        <w:t xml:space="preserve">Figure </w:t>
      </w:r>
      <w:r w:rsidR="00B90FC6">
        <w:rPr>
          <w:rFonts w:asciiTheme="majorBidi" w:hAnsiTheme="majorBidi" w:cstheme="majorBidi"/>
          <w:b/>
          <w:bCs/>
          <w:sz w:val="24"/>
          <w:szCs w:val="24"/>
        </w:rPr>
        <w:t>27</w:t>
      </w:r>
      <w:r w:rsidRPr="00222EC7">
        <w:rPr>
          <w:rFonts w:asciiTheme="majorBidi" w:hAnsiTheme="majorBidi" w:cstheme="majorBidi"/>
          <w:b/>
          <w:bCs/>
          <w:sz w:val="24"/>
          <w:szCs w:val="24"/>
        </w:rPr>
        <w:t>.</w:t>
      </w:r>
      <w:r w:rsidRPr="00F62361">
        <w:rPr>
          <w:rFonts w:asciiTheme="majorBidi" w:hAnsiTheme="majorBidi" w:cstheme="majorBidi"/>
          <w:sz w:val="24"/>
          <w:szCs w:val="24"/>
        </w:rPr>
        <w:t xml:space="preserve"> </w:t>
      </w:r>
      <w:r w:rsidRPr="00222EC7">
        <w:rPr>
          <w:rFonts w:ascii="Times New Roman" w:hAnsi="Times New Roman" w:cs="Times New Roman"/>
        </w:rPr>
        <w:t>L’évolution de la hauteur d’eau dans la nappe en fonction du temps</w:t>
      </w:r>
      <w:r w:rsidR="00151D47">
        <w:rPr>
          <w:rFonts w:asciiTheme="majorBidi" w:hAnsiTheme="majorBidi" w:cstheme="majorBidi"/>
        </w:rPr>
        <w:t>.</w:t>
      </w:r>
    </w:p>
    <w:p w:rsidR="0077537A" w:rsidRPr="0077537A" w:rsidRDefault="0077537A" w:rsidP="0077537A">
      <w:pPr>
        <w:autoSpaceDE w:val="0"/>
        <w:autoSpaceDN w:val="0"/>
        <w:adjustRightInd w:val="0"/>
        <w:spacing w:after="0" w:line="360" w:lineRule="auto"/>
        <w:rPr>
          <w:rFonts w:ascii="Times New Roman" w:hAnsi="Times New Roman" w:cs="Times New Roman"/>
          <w:b/>
          <w:bCs/>
          <w:sz w:val="26"/>
          <w:szCs w:val="26"/>
        </w:rPr>
      </w:pPr>
      <w:r w:rsidRPr="0077537A">
        <w:rPr>
          <w:rFonts w:ascii="Times New Roman" w:hAnsi="Times New Roman" w:cs="Times New Roman"/>
          <w:b/>
          <w:bCs/>
          <w:sz w:val="26"/>
          <w:szCs w:val="26"/>
        </w:rPr>
        <w:lastRenderedPageBreak/>
        <w:t>Conclusion:</w:t>
      </w:r>
    </w:p>
    <w:p w:rsidR="0077537A" w:rsidRPr="0077537A" w:rsidRDefault="0077537A" w:rsidP="0077537A">
      <w:pPr>
        <w:autoSpaceDE w:val="0"/>
        <w:autoSpaceDN w:val="0"/>
        <w:adjustRightInd w:val="0"/>
        <w:spacing w:after="0" w:line="360" w:lineRule="auto"/>
        <w:jc w:val="both"/>
        <w:rPr>
          <w:rFonts w:ascii="Times New Roman" w:hAnsi="Times New Roman" w:cs="Times New Roman"/>
          <w:sz w:val="26"/>
          <w:szCs w:val="26"/>
        </w:rPr>
      </w:pPr>
      <w:r w:rsidRPr="0077537A">
        <w:rPr>
          <w:rFonts w:ascii="Times New Roman" w:hAnsi="Times New Roman" w:cs="Times New Roman"/>
          <w:sz w:val="26"/>
          <w:szCs w:val="26"/>
        </w:rPr>
        <w:t>Les résultats obtenus par le traitement des exemples d'application laissent tirer les</w:t>
      </w:r>
      <w:r>
        <w:rPr>
          <w:rFonts w:ascii="Times New Roman" w:hAnsi="Times New Roman" w:cs="Times New Roman"/>
          <w:sz w:val="26"/>
          <w:szCs w:val="26"/>
        </w:rPr>
        <w:t xml:space="preserve"> </w:t>
      </w:r>
      <w:r w:rsidRPr="0077537A">
        <w:rPr>
          <w:rFonts w:ascii="Times New Roman" w:hAnsi="Times New Roman" w:cs="Times New Roman"/>
          <w:sz w:val="26"/>
          <w:szCs w:val="26"/>
        </w:rPr>
        <w:t>conclusions suivantes:</w:t>
      </w:r>
    </w:p>
    <w:p w:rsidR="0077537A" w:rsidRDefault="0077537A" w:rsidP="0033436F">
      <w:pPr>
        <w:pStyle w:val="Paragraphedeliste"/>
        <w:numPr>
          <w:ilvl w:val="0"/>
          <w:numId w:val="9"/>
        </w:numPr>
        <w:autoSpaceDE w:val="0"/>
        <w:autoSpaceDN w:val="0"/>
        <w:adjustRightInd w:val="0"/>
        <w:spacing w:after="0" w:line="360" w:lineRule="auto"/>
        <w:jc w:val="both"/>
        <w:rPr>
          <w:rFonts w:ascii="Times New Roman" w:hAnsi="Times New Roman" w:cs="Times New Roman"/>
          <w:sz w:val="26"/>
          <w:szCs w:val="26"/>
        </w:rPr>
      </w:pPr>
      <w:r w:rsidRPr="0033436F">
        <w:rPr>
          <w:rFonts w:ascii="Symbol" w:hAnsi="Symbol" w:cs="Symbol"/>
          <w:sz w:val="26"/>
          <w:szCs w:val="26"/>
          <w:lang w:val="en-US"/>
        </w:rPr>
        <w:t></w:t>
      </w:r>
      <w:r w:rsidRPr="0033436F">
        <w:rPr>
          <w:rFonts w:ascii="Times New Roman" w:hAnsi="Times New Roman" w:cs="Times New Roman"/>
          <w:sz w:val="26"/>
          <w:szCs w:val="26"/>
        </w:rPr>
        <w:t>La charge hydraulique augmente avec le temps de recharge.</w:t>
      </w:r>
    </w:p>
    <w:p w:rsidR="00951226" w:rsidRPr="00951226" w:rsidRDefault="00951226" w:rsidP="00951226">
      <w:pPr>
        <w:pStyle w:val="Paragraphedeliste"/>
        <w:autoSpaceDE w:val="0"/>
        <w:autoSpaceDN w:val="0"/>
        <w:adjustRightInd w:val="0"/>
        <w:spacing w:after="0" w:line="360" w:lineRule="auto"/>
        <w:jc w:val="both"/>
        <w:rPr>
          <w:rFonts w:ascii="Times New Roman" w:hAnsi="Times New Roman" w:cs="Times New Roman"/>
          <w:sz w:val="16"/>
          <w:szCs w:val="26"/>
        </w:rPr>
      </w:pPr>
    </w:p>
    <w:p w:rsidR="0077537A" w:rsidRDefault="0077537A" w:rsidP="0033436F">
      <w:pPr>
        <w:pStyle w:val="Paragraphedeliste"/>
        <w:numPr>
          <w:ilvl w:val="0"/>
          <w:numId w:val="9"/>
        </w:numPr>
        <w:autoSpaceDE w:val="0"/>
        <w:autoSpaceDN w:val="0"/>
        <w:adjustRightInd w:val="0"/>
        <w:spacing w:after="0" w:line="360" w:lineRule="auto"/>
        <w:jc w:val="both"/>
        <w:rPr>
          <w:rFonts w:ascii="Times New Roman" w:hAnsi="Times New Roman" w:cs="Times New Roman"/>
          <w:sz w:val="26"/>
          <w:szCs w:val="26"/>
        </w:rPr>
      </w:pPr>
      <w:r w:rsidRPr="0033436F">
        <w:rPr>
          <w:rFonts w:ascii="Symbol" w:hAnsi="Symbol" w:cs="Symbol"/>
          <w:sz w:val="26"/>
          <w:szCs w:val="26"/>
          <w:lang w:val="en-US"/>
        </w:rPr>
        <w:t></w:t>
      </w:r>
      <w:r w:rsidRPr="0033436F">
        <w:rPr>
          <w:rFonts w:ascii="Times New Roman" w:hAnsi="Times New Roman" w:cs="Times New Roman"/>
          <w:sz w:val="26"/>
          <w:szCs w:val="26"/>
        </w:rPr>
        <w:t>le relèvement de niveau piézométrique de la nappe est proportionnel au taux de rechargement de la nappe.</w:t>
      </w:r>
    </w:p>
    <w:p w:rsidR="00951226" w:rsidRPr="00951226" w:rsidRDefault="00951226" w:rsidP="00951226">
      <w:pPr>
        <w:pStyle w:val="Paragraphedeliste"/>
        <w:rPr>
          <w:rFonts w:ascii="Times New Roman" w:hAnsi="Times New Roman" w:cs="Times New Roman"/>
          <w:sz w:val="16"/>
          <w:szCs w:val="26"/>
        </w:rPr>
      </w:pPr>
    </w:p>
    <w:p w:rsidR="00951226" w:rsidRPr="00951226" w:rsidRDefault="00951226" w:rsidP="00951226">
      <w:pPr>
        <w:pStyle w:val="Paragraphedeliste"/>
        <w:autoSpaceDE w:val="0"/>
        <w:autoSpaceDN w:val="0"/>
        <w:adjustRightInd w:val="0"/>
        <w:spacing w:after="0" w:line="360" w:lineRule="auto"/>
        <w:jc w:val="both"/>
        <w:rPr>
          <w:rFonts w:ascii="Times New Roman" w:hAnsi="Times New Roman" w:cs="Times New Roman"/>
          <w:sz w:val="6"/>
          <w:szCs w:val="26"/>
        </w:rPr>
      </w:pPr>
    </w:p>
    <w:p w:rsidR="0077537A" w:rsidRPr="0033436F" w:rsidRDefault="0077537A" w:rsidP="0033436F">
      <w:pPr>
        <w:pStyle w:val="Paragraphedeliste"/>
        <w:numPr>
          <w:ilvl w:val="0"/>
          <w:numId w:val="9"/>
        </w:numPr>
        <w:autoSpaceDE w:val="0"/>
        <w:autoSpaceDN w:val="0"/>
        <w:adjustRightInd w:val="0"/>
        <w:spacing w:after="0" w:line="360" w:lineRule="auto"/>
        <w:jc w:val="both"/>
        <w:rPr>
          <w:rFonts w:ascii="Times New Roman" w:hAnsi="Times New Roman" w:cs="Times New Roman"/>
          <w:sz w:val="26"/>
          <w:szCs w:val="26"/>
        </w:rPr>
      </w:pPr>
      <w:r w:rsidRPr="0033436F">
        <w:rPr>
          <w:rFonts w:ascii="Symbol" w:hAnsi="Symbol" w:cs="Symbol"/>
          <w:sz w:val="26"/>
          <w:szCs w:val="26"/>
          <w:lang w:val="en-US"/>
        </w:rPr>
        <w:t></w:t>
      </w:r>
      <w:r w:rsidRPr="0033436F">
        <w:rPr>
          <w:rFonts w:ascii="Times New Roman" w:hAnsi="Times New Roman" w:cs="Times New Roman"/>
          <w:sz w:val="26"/>
          <w:szCs w:val="26"/>
        </w:rPr>
        <w:t>L'évolution de la surface piézométrique diffère selon le type de la recharge et le moyen utilisé pour la recharge de la nappe.</w:t>
      </w:r>
    </w:p>
    <w:p w:rsidR="00CC4ED5" w:rsidRPr="0077537A" w:rsidRDefault="00CC4ED5" w:rsidP="001462E5">
      <w:pPr>
        <w:tabs>
          <w:tab w:val="left" w:pos="1721"/>
        </w:tabs>
        <w:rPr>
          <w:lang w:bidi="ar-DZ"/>
        </w:rPr>
      </w:pPr>
    </w:p>
    <w:p w:rsidR="00CC4ED5" w:rsidRDefault="00CC4ED5" w:rsidP="001462E5">
      <w:pPr>
        <w:tabs>
          <w:tab w:val="left" w:pos="1721"/>
        </w:tabs>
        <w:rPr>
          <w:lang w:bidi="ar-DZ"/>
        </w:rPr>
      </w:pPr>
    </w:p>
    <w:p w:rsidR="00CC4ED5" w:rsidRDefault="00CC4ED5" w:rsidP="001462E5">
      <w:pPr>
        <w:tabs>
          <w:tab w:val="left" w:pos="1721"/>
        </w:tabs>
        <w:rPr>
          <w:lang w:bidi="ar-DZ"/>
        </w:rPr>
      </w:pPr>
    </w:p>
    <w:p w:rsidR="00CC4ED5" w:rsidRDefault="00CC4ED5" w:rsidP="001462E5">
      <w:pPr>
        <w:tabs>
          <w:tab w:val="left" w:pos="1721"/>
        </w:tabs>
        <w:rPr>
          <w:lang w:bidi="ar-DZ"/>
        </w:rPr>
      </w:pPr>
    </w:p>
    <w:p w:rsidR="00CC4ED5" w:rsidRDefault="00CC4ED5" w:rsidP="001462E5">
      <w:pPr>
        <w:tabs>
          <w:tab w:val="left" w:pos="1721"/>
        </w:tabs>
        <w:rPr>
          <w:lang w:bidi="ar-DZ"/>
        </w:rPr>
      </w:pPr>
    </w:p>
    <w:p w:rsidR="00CC4ED5" w:rsidRDefault="00CC4ED5" w:rsidP="001462E5">
      <w:pPr>
        <w:tabs>
          <w:tab w:val="left" w:pos="1721"/>
        </w:tabs>
        <w:rPr>
          <w:lang w:bidi="ar-DZ"/>
        </w:rPr>
      </w:pPr>
    </w:p>
    <w:p w:rsidR="00CC4ED5" w:rsidRDefault="00CC4ED5" w:rsidP="001462E5">
      <w:pPr>
        <w:tabs>
          <w:tab w:val="left" w:pos="1721"/>
        </w:tabs>
        <w:rPr>
          <w:lang w:bidi="ar-DZ"/>
        </w:rPr>
      </w:pPr>
    </w:p>
    <w:p w:rsidR="001462E5" w:rsidRPr="00CC4ED5" w:rsidRDefault="001462E5" w:rsidP="00CC4ED5">
      <w:pPr>
        <w:tabs>
          <w:tab w:val="left" w:pos="6941"/>
        </w:tabs>
        <w:rPr>
          <w:lang w:bidi="ar-DZ"/>
        </w:rPr>
      </w:pPr>
    </w:p>
    <w:sectPr w:rsidR="001462E5" w:rsidRPr="00CC4ED5" w:rsidSect="005B2D25">
      <w:headerReference w:type="default" r:id="rId36"/>
      <w:footerReference w:type="default" r:id="rId37"/>
      <w:pgSz w:w="11906" w:h="16838"/>
      <w:pgMar w:top="1134" w:right="1134" w:bottom="1134" w:left="1418" w:header="709" w:footer="709" w:gutter="0"/>
      <w:pgNumType w:start="57"/>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1662D" w:rsidRDefault="0051662D" w:rsidP="00B96DD4">
      <w:pPr>
        <w:spacing w:after="0" w:line="240" w:lineRule="auto"/>
      </w:pPr>
      <w:r>
        <w:separator/>
      </w:r>
    </w:p>
  </w:endnote>
  <w:endnote w:type="continuationSeparator" w:id="1">
    <w:p w:rsidR="0051662D" w:rsidRDefault="0051662D" w:rsidP="00B96DD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A00002EF" w:usb1="420020EB" w:usb2="00000000" w:usb3="00000000" w:csb0="0000019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248239"/>
      <w:docPartObj>
        <w:docPartGallery w:val="Page Numbers (Bottom of Page)"/>
        <w:docPartUnique/>
      </w:docPartObj>
    </w:sdtPr>
    <w:sdtContent>
      <w:p w:rsidR="001A058F" w:rsidRDefault="001A058F">
        <w:pPr>
          <w:pStyle w:val="Pieddepage"/>
          <w:jc w:val="center"/>
        </w:pPr>
        <w:fldSimple w:instr=" PAGE   \* MERGEFORMAT ">
          <w:r w:rsidR="00652F52">
            <w:rPr>
              <w:noProof/>
            </w:rPr>
            <w:t>69</w:t>
          </w:r>
        </w:fldSimple>
      </w:p>
    </w:sdtContent>
  </w:sdt>
  <w:p w:rsidR="001A058F" w:rsidRDefault="001A058F" w:rsidP="00962417">
    <w:pPr>
      <w:pStyle w:val="Pieddepage"/>
      <w:tabs>
        <w:tab w:val="right" w:pos="3402"/>
      </w:tabs>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1662D" w:rsidRDefault="0051662D" w:rsidP="00B96DD4">
      <w:pPr>
        <w:spacing w:after="0" w:line="240" w:lineRule="auto"/>
      </w:pPr>
      <w:r>
        <w:separator/>
      </w:r>
    </w:p>
  </w:footnote>
  <w:footnote w:type="continuationSeparator" w:id="1">
    <w:p w:rsidR="0051662D" w:rsidRDefault="0051662D" w:rsidP="00B96DD4">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imes New Roman" w:hAnsi="Times New Roman" w:cs="Times New Roman"/>
        <w:b/>
        <w:bCs/>
        <w:sz w:val="24"/>
        <w:szCs w:val="24"/>
      </w:rPr>
      <w:alias w:val="Titre"/>
      <w:id w:val="77738743"/>
      <w:dataBinding w:prefixMappings="xmlns:ns0='http://schemas.openxmlformats.org/package/2006/metadata/core-properties' xmlns:ns1='http://purl.org/dc/elements/1.1/'" w:xpath="/ns0:coreProperties[1]/ns1:title[1]" w:storeItemID="{6C3C8BC8-F283-45AE-878A-BAB7291924A1}"/>
      <w:text/>
    </w:sdtPr>
    <w:sdtContent>
      <w:p w:rsidR="001A058F" w:rsidRDefault="001A058F" w:rsidP="00B96DD4">
        <w:pPr>
          <w:pStyle w:val="En-tte"/>
          <w:pBdr>
            <w:bottom w:val="thickThinSmallGap" w:sz="24" w:space="1" w:color="622423" w:themeColor="accent2" w:themeShade="7F"/>
          </w:pBdr>
          <w:jc w:val="center"/>
          <w:rPr>
            <w:rFonts w:asciiTheme="majorHAnsi" w:eastAsiaTheme="majorEastAsia" w:hAnsiTheme="majorHAnsi" w:cstheme="majorBidi"/>
            <w:sz w:val="32"/>
            <w:szCs w:val="32"/>
          </w:rPr>
        </w:pPr>
        <w:r w:rsidRPr="007247C8">
          <w:rPr>
            <w:rFonts w:ascii="Times New Roman" w:hAnsi="Times New Roman" w:cs="Times New Roman"/>
            <w:b/>
            <w:bCs/>
            <w:sz w:val="24"/>
            <w:szCs w:val="24"/>
          </w:rPr>
          <w:t xml:space="preserve">Chapitre V                                                                                   </w:t>
        </w:r>
        <w:r>
          <w:rPr>
            <w:rFonts w:ascii="Times New Roman" w:hAnsi="Times New Roman" w:cs="Times New Roman"/>
            <w:b/>
            <w:bCs/>
            <w:sz w:val="24"/>
            <w:szCs w:val="24"/>
          </w:rPr>
          <w:t xml:space="preserve">      </w:t>
        </w:r>
        <w:r w:rsidRPr="007247C8">
          <w:rPr>
            <w:rFonts w:ascii="Times New Roman" w:hAnsi="Times New Roman" w:cs="Times New Roman"/>
            <w:b/>
            <w:bCs/>
            <w:sz w:val="24"/>
            <w:szCs w:val="24"/>
          </w:rPr>
          <w:t xml:space="preserve">        Application numérique</w:t>
        </w:r>
      </w:p>
    </w:sdtContent>
  </w:sdt>
  <w:p w:rsidR="001A058F" w:rsidRDefault="001A058F">
    <w:pPr>
      <w:pStyle w:val="En-tt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1416B1"/>
    <w:multiLevelType w:val="hybridMultilevel"/>
    <w:tmpl w:val="6898F4CE"/>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nsid w:val="1D6731BD"/>
    <w:multiLevelType w:val="hybridMultilevel"/>
    <w:tmpl w:val="B54A8F82"/>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33D66813"/>
    <w:multiLevelType w:val="hybridMultilevel"/>
    <w:tmpl w:val="0248C014"/>
    <w:lvl w:ilvl="0" w:tplc="A720EED4">
      <w:start w:val="1"/>
      <w:numFmt w:val="upperLetter"/>
      <w:lvlText w:val="%1."/>
      <w:lvlJc w:val="left"/>
      <w:pPr>
        <w:ind w:left="405" w:hanging="360"/>
      </w:pPr>
      <w:rPr>
        <w:rFonts w:hint="default"/>
      </w:rPr>
    </w:lvl>
    <w:lvl w:ilvl="1" w:tplc="040C0019" w:tentative="1">
      <w:start w:val="1"/>
      <w:numFmt w:val="lowerLetter"/>
      <w:lvlText w:val="%2."/>
      <w:lvlJc w:val="left"/>
      <w:pPr>
        <w:ind w:left="1125" w:hanging="360"/>
      </w:pPr>
    </w:lvl>
    <w:lvl w:ilvl="2" w:tplc="040C001B" w:tentative="1">
      <w:start w:val="1"/>
      <w:numFmt w:val="lowerRoman"/>
      <w:lvlText w:val="%3."/>
      <w:lvlJc w:val="right"/>
      <w:pPr>
        <w:ind w:left="1845" w:hanging="180"/>
      </w:pPr>
    </w:lvl>
    <w:lvl w:ilvl="3" w:tplc="040C000F" w:tentative="1">
      <w:start w:val="1"/>
      <w:numFmt w:val="decimal"/>
      <w:lvlText w:val="%4."/>
      <w:lvlJc w:val="left"/>
      <w:pPr>
        <w:ind w:left="2565" w:hanging="360"/>
      </w:pPr>
    </w:lvl>
    <w:lvl w:ilvl="4" w:tplc="040C0019" w:tentative="1">
      <w:start w:val="1"/>
      <w:numFmt w:val="lowerLetter"/>
      <w:lvlText w:val="%5."/>
      <w:lvlJc w:val="left"/>
      <w:pPr>
        <w:ind w:left="3285" w:hanging="360"/>
      </w:pPr>
    </w:lvl>
    <w:lvl w:ilvl="5" w:tplc="040C001B" w:tentative="1">
      <w:start w:val="1"/>
      <w:numFmt w:val="lowerRoman"/>
      <w:lvlText w:val="%6."/>
      <w:lvlJc w:val="right"/>
      <w:pPr>
        <w:ind w:left="4005" w:hanging="180"/>
      </w:pPr>
    </w:lvl>
    <w:lvl w:ilvl="6" w:tplc="040C000F" w:tentative="1">
      <w:start w:val="1"/>
      <w:numFmt w:val="decimal"/>
      <w:lvlText w:val="%7."/>
      <w:lvlJc w:val="left"/>
      <w:pPr>
        <w:ind w:left="4725" w:hanging="360"/>
      </w:pPr>
    </w:lvl>
    <w:lvl w:ilvl="7" w:tplc="040C0019" w:tentative="1">
      <w:start w:val="1"/>
      <w:numFmt w:val="lowerLetter"/>
      <w:lvlText w:val="%8."/>
      <w:lvlJc w:val="left"/>
      <w:pPr>
        <w:ind w:left="5445" w:hanging="360"/>
      </w:pPr>
    </w:lvl>
    <w:lvl w:ilvl="8" w:tplc="040C001B" w:tentative="1">
      <w:start w:val="1"/>
      <w:numFmt w:val="lowerRoman"/>
      <w:lvlText w:val="%9."/>
      <w:lvlJc w:val="right"/>
      <w:pPr>
        <w:ind w:left="6165" w:hanging="180"/>
      </w:pPr>
    </w:lvl>
  </w:abstractNum>
  <w:abstractNum w:abstractNumId="3">
    <w:nsid w:val="42836007"/>
    <w:multiLevelType w:val="hybridMultilevel"/>
    <w:tmpl w:val="66FC650A"/>
    <w:lvl w:ilvl="0" w:tplc="ABE606E0">
      <w:start w:val="1"/>
      <w:numFmt w:val="bullet"/>
      <w:lvlText w:val=""/>
      <w:lvlJc w:val="left"/>
      <w:pPr>
        <w:tabs>
          <w:tab w:val="num" w:pos="720"/>
        </w:tabs>
        <w:ind w:left="720" w:hanging="360"/>
      </w:pPr>
      <w:rPr>
        <w:rFonts w:ascii="Wingdings" w:hAnsi="Wingdings" w:hint="default"/>
      </w:rPr>
    </w:lvl>
    <w:lvl w:ilvl="1" w:tplc="3DB6E804" w:tentative="1">
      <w:start w:val="1"/>
      <w:numFmt w:val="bullet"/>
      <w:lvlText w:val=""/>
      <w:lvlJc w:val="left"/>
      <w:pPr>
        <w:tabs>
          <w:tab w:val="num" w:pos="1440"/>
        </w:tabs>
        <w:ind w:left="1440" w:hanging="360"/>
      </w:pPr>
      <w:rPr>
        <w:rFonts w:ascii="Wingdings" w:hAnsi="Wingdings" w:hint="default"/>
      </w:rPr>
    </w:lvl>
    <w:lvl w:ilvl="2" w:tplc="7244224C" w:tentative="1">
      <w:start w:val="1"/>
      <w:numFmt w:val="bullet"/>
      <w:lvlText w:val=""/>
      <w:lvlJc w:val="left"/>
      <w:pPr>
        <w:tabs>
          <w:tab w:val="num" w:pos="2160"/>
        </w:tabs>
        <w:ind w:left="2160" w:hanging="360"/>
      </w:pPr>
      <w:rPr>
        <w:rFonts w:ascii="Wingdings" w:hAnsi="Wingdings" w:hint="default"/>
      </w:rPr>
    </w:lvl>
    <w:lvl w:ilvl="3" w:tplc="2382762C" w:tentative="1">
      <w:start w:val="1"/>
      <w:numFmt w:val="bullet"/>
      <w:lvlText w:val=""/>
      <w:lvlJc w:val="left"/>
      <w:pPr>
        <w:tabs>
          <w:tab w:val="num" w:pos="2880"/>
        </w:tabs>
        <w:ind w:left="2880" w:hanging="360"/>
      </w:pPr>
      <w:rPr>
        <w:rFonts w:ascii="Wingdings" w:hAnsi="Wingdings" w:hint="default"/>
      </w:rPr>
    </w:lvl>
    <w:lvl w:ilvl="4" w:tplc="E8767CD2" w:tentative="1">
      <w:start w:val="1"/>
      <w:numFmt w:val="bullet"/>
      <w:lvlText w:val=""/>
      <w:lvlJc w:val="left"/>
      <w:pPr>
        <w:tabs>
          <w:tab w:val="num" w:pos="3600"/>
        </w:tabs>
        <w:ind w:left="3600" w:hanging="360"/>
      </w:pPr>
      <w:rPr>
        <w:rFonts w:ascii="Wingdings" w:hAnsi="Wingdings" w:hint="default"/>
      </w:rPr>
    </w:lvl>
    <w:lvl w:ilvl="5" w:tplc="166EBB26" w:tentative="1">
      <w:start w:val="1"/>
      <w:numFmt w:val="bullet"/>
      <w:lvlText w:val=""/>
      <w:lvlJc w:val="left"/>
      <w:pPr>
        <w:tabs>
          <w:tab w:val="num" w:pos="4320"/>
        </w:tabs>
        <w:ind w:left="4320" w:hanging="360"/>
      </w:pPr>
      <w:rPr>
        <w:rFonts w:ascii="Wingdings" w:hAnsi="Wingdings" w:hint="default"/>
      </w:rPr>
    </w:lvl>
    <w:lvl w:ilvl="6" w:tplc="1CEABDF2" w:tentative="1">
      <w:start w:val="1"/>
      <w:numFmt w:val="bullet"/>
      <w:lvlText w:val=""/>
      <w:lvlJc w:val="left"/>
      <w:pPr>
        <w:tabs>
          <w:tab w:val="num" w:pos="5040"/>
        </w:tabs>
        <w:ind w:left="5040" w:hanging="360"/>
      </w:pPr>
      <w:rPr>
        <w:rFonts w:ascii="Wingdings" w:hAnsi="Wingdings" w:hint="default"/>
      </w:rPr>
    </w:lvl>
    <w:lvl w:ilvl="7" w:tplc="98CA28CE" w:tentative="1">
      <w:start w:val="1"/>
      <w:numFmt w:val="bullet"/>
      <w:lvlText w:val=""/>
      <w:lvlJc w:val="left"/>
      <w:pPr>
        <w:tabs>
          <w:tab w:val="num" w:pos="5760"/>
        </w:tabs>
        <w:ind w:left="5760" w:hanging="360"/>
      </w:pPr>
      <w:rPr>
        <w:rFonts w:ascii="Wingdings" w:hAnsi="Wingdings" w:hint="default"/>
      </w:rPr>
    </w:lvl>
    <w:lvl w:ilvl="8" w:tplc="CA86F4F0" w:tentative="1">
      <w:start w:val="1"/>
      <w:numFmt w:val="bullet"/>
      <w:lvlText w:val=""/>
      <w:lvlJc w:val="left"/>
      <w:pPr>
        <w:tabs>
          <w:tab w:val="num" w:pos="6480"/>
        </w:tabs>
        <w:ind w:left="6480" w:hanging="360"/>
      </w:pPr>
      <w:rPr>
        <w:rFonts w:ascii="Wingdings" w:hAnsi="Wingdings" w:hint="default"/>
      </w:rPr>
    </w:lvl>
  </w:abstractNum>
  <w:abstractNum w:abstractNumId="4">
    <w:nsid w:val="4AFF6482"/>
    <w:multiLevelType w:val="hybridMultilevel"/>
    <w:tmpl w:val="6778D228"/>
    <w:lvl w:ilvl="0" w:tplc="F8F67C6A">
      <w:start w:val="1"/>
      <w:numFmt w:val="upperLetter"/>
      <w:lvlText w:val="%1."/>
      <w:lvlJc w:val="left"/>
      <w:pPr>
        <w:ind w:left="405" w:hanging="360"/>
      </w:pPr>
      <w:rPr>
        <w:rFonts w:hint="default"/>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5">
    <w:nsid w:val="5FD418A5"/>
    <w:multiLevelType w:val="hybridMultilevel"/>
    <w:tmpl w:val="AF00297E"/>
    <w:lvl w:ilvl="0" w:tplc="04090015">
      <w:start w:val="1"/>
      <w:numFmt w:val="upp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nsid w:val="773907A5"/>
    <w:multiLevelType w:val="hybridMultilevel"/>
    <w:tmpl w:val="F2C070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78E07C97"/>
    <w:multiLevelType w:val="hybridMultilevel"/>
    <w:tmpl w:val="EA148B7E"/>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792271E3"/>
    <w:multiLevelType w:val="hybridMultilevel"/>
    <w:tmpl w:val="FF70157C"/>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nsid w:val="7E834275"/>
    <w:multiLevelType w:val="hybridMultilevel"/>
    <w:tmpl w:val="959A9A66"/>
    <w:lvl w:ilvl="0" w:tplc="04090015">
      <w:start w:val="1"/>
      <w:numFmt w:val="upperLetter"/>
      <w:lvlText w:val="%1."/>
      <w:lvlJc w:val="left"/>
      <w:pPr>
        <w:ind w:left="644"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2"/>
  </w:num>
  <w:num w:numId="2">
    <w:abstractNumId w:val="8"/>
  </w:num>
  <w:num w:numId="3">
    <w:abstractNumId w:val="6"/>
  </w:num>
  <w:num w:numId="4">
    <w:abstractNumId w:val="1"/>
  </w:num>
  <w:num w:numId="5">
    <w:abstractNumId w:val="5"/>
  </w:num>
  <w:num w:numId="6">
    <w:abstractNumId w:val="0"/>
  </w:num>
  <w:num w:numId="7">
    <w:abstractNumId w:val="4"/>
  </w:num>
  <w:num w:numId="8">
    <w:abstractNumId w:val="3"/>
  </w:num>
  <w:num w:numId="9">
    <w:abstractNumId w:val="7"/>
  </w:num>
  <w:num w:numId="10">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footnotePr>
    <w:footnote w:id="0"/>
    <w:footnote w:id="1"/>
  </w:footnotePr>
  <w:endnotePr>
    <w:endnote w:id="0"/>
    <w:endnote w:id="1"/>
  </w:endnotePr>
  <w:compat/>
  <w:rsids>
    <w:rsidRoot w:val="00B96DD4"/>
    <w:rsid w:val="00016E8E"/>
    <w:rsid w:val="00032E63"/>
    <w:rsid w:val="00044EB3"/>
    <w:rsid w:val="00085E97"/>
    <w:rsid w:val="00095682"/>
    <w:rsid w:val="000963A4"/>
    <w:rsid w:val="00097B54"/>
    <w:rsid w:val="000A27C7"/>
    <w:rsid w:val="000A3623"/>
    <w:rsid w:val="000B1299"/>
    <w:rsid w:val="000B7050"/>
    <w:rsid w:val="000B7DB4"/>
    <w:rsid w:val="000D199A"/>
    <w:rsid w:val="000D294D"/>
    <w:rsid w:val="000F25D3"/>
    <w:rsid w:val="00117AE2"/>
    <w:rsid w:val="001221F7"/>
    <w:rsid w:val="001364A6"/>
    <w:rsid w:val="001410EB"/>
    <w:rsid w:val="0014422A"/>
    <w:rsid w:val="001462E5"/>
    <w:rsid w:val="00150D34"/>
    <w:rsid w:val="00151D47"/>
    <w:rsid w:val="00155E6D"/>
    <w:rsid w:val="00171F31"/>
    <w:rsid w:val="00177AFC"/>
    <w:rsid w:val="00197FB6"/>
    <w:rsid w:val="001A058F"/>
    <w:rsid w:val="001A3AC5"/>
    <w:rsid w:val="001C0B95"/>
    <w:rsid w:val="001C7598"/>
    <w:rsid w:val="001C7949"/>
    <w:rsid w:val="001F4E86"/>
    <w:rsid w:val="001F4EA5"/>
    <w:rsid w:val="001F7AF3"/>
    <w:rsid w:val="00200CA8"/>
    <w:rsid w:val="00202E28"/>
    <w:rsid w:val="00202F77"/>
    <w:rsid w:val="00203B52"/>
    <w:rsid w:val="0021357D"/>
    <w:rsid w:val="00222EC7"/>
    <w:rsid w:val="00232375"/>
    <w:rsid w:val="002466EC"/>
    <w:rsid w:val="002733D9"/>
    <w:rsid w:val="00274F14"/>
    <w:rsid w:val="00283A9A"/>
    <w:rsid w:val="00291F2B"/>
    <w:rsid w:val="0029694D"/>
    <w:rsid w:val="002A06E4"/>
    <w:rsid w:val="002A36D9"/>
    <w:rsid w:val="002A4B6F"/>
    <w:rsid w:val="002A7CA2"/>
    <w:rsid w:val="002D2503"/>
    <w:rsid w:val="002E042E"/>
    <w:rsid w:val="002E0772"/>
    <w:rsid w:val="002E368C"/>
    <w:rsid w:val="002F0AC6"/>
    <w:rsid w:val="002F3E9D"/>
    <w:rsid w:val="002F7CF8"/>
    <w:rsid w:val="0030648B"/>
    <w:rsid w:val="00312F77"/>
    <w:rsid w:val="00323C0F"/>
    <w:rsid w:val="00333EA7"/>
    <w:rsid w:val="0033436F"/>
    <w:rsid w:val="00341E6D"/>
    <w:rsid w:val="00344A8B"/>
    <w:rsid w:val="003474EB"/>
    <w:rsid w:val="00361368"/>
    <w:rsid w:val="00371892"/>
    <w:rsid w:val="003800F8"/>
    <w:rsid w:val="00380F0C"/>
    <w:rsid w:val="00390C7F"/>
    <w:rsid w:val="003A5089"/>
    <w:rsid w:val="003C35F4"/>
    <w:rsid w:val="003C4AFA"/>
    <w:rsid w:val="003D7765"/>
    <w:rsid w:val="003E1971"/>
    <w:rsid w:val="003E23C1"/>
    <w:rsid w:val="003F24E7"/>
    <w:rsid w:val="00401354"/>
    <w:rsid w:val="00407D88"/>
    <w:rsid w:val="00416B9E"/>
    <w:rsid w:val="00422704"/>
    <w:rsid w:val="00434A24"/>
    <w:rsid w:val="004367C5"/>
    <w:rsid w:val="00442CDF"/>
    <w:rsid w:val="004516B9"/>
    <w:rsid w:val="004672AB"/>
    <w:rsid w:val="00486CDC"/>
    <w:rsid w:val="00491748"/>
    <w:rsid w:val="004A11C9"/>
    <w:rsid w:val="004A2A6D"/>
    <w:rsid w:val="004B0D58"/>
    <w:rsid w:val="004B5D4D"/>
    <w:rsid w:val="004B7554"/>
    <w:rsid w:val="004C3AB7"/>
    <w:rsid w:val="004D0A0A"/>
    <w:rsid w:val="004E17B1"/>
    <w:rsid w:val="004F17E3"/>
    <w:rsid w:val="004F29AB"/>
    <w:rsid w:val="004F5C03"/>
    <w:rsid w:val="00500D1C"/>
    <w:rsid w:val="005135AB"/>
    <w:rsid w:val="0051662D"/>
    <w:rsid w:val="005309E0"/>
    <w:rsid w:val="00537744"/>
    <w:rsid w:val="005536A5"/>
    <w:rsid w:val="00556D41"/>
    <w:rsid w:val="00564CD9"/>
    <w:rsid w:val="00565660"/>
    <w:rsid w:val="005669C6"/>
    <w:rsid w:val="00574EF0"/>
    <w:rsid w:val="005839E3"/>
    <w:rsid w:val="00592014"/>
    <w:rsid w:val="00593089"/>
    <w:rsid w:val="0059508A"/>
    <w:rsid w:val="005B2D25"/>
    <w:rsid w:val="005D3FF4"/>
    <w:rsid w:val="005E7F5C"/>
    <w:rsid w:val="005F4031"/>
    <w:rsid w:val="005F7F4A"/>
    <w:rsid w:val="00602955"/>
    <w:rsid w:val="00604B39"/>
    <w:rsid w:val="006122F0"/>
    <w:rsid w:val="00617E5D"/>
    <w:rsid w:val="00623008"/>
    <w:rsid w:val="00623177"/>
    <w:rsid w:val="006267E1"/>
    <w:rsid w:val="00651C1B"/>
    <w:rsid w:val="00652F52"/>
    <w:rsid w:val="00654721"/>
    <w:rsid w:val="00656D0E"/>
    <w:rsid w:val="0066333C"/>
    <w:rsid w:val="00676869"/>
    <w:rsid w:val="00681226"/>
    <w:rsid w:val="00696990"/>
    <w:rsid w:val="006A3C31"/>
    <w:rsid w:val="006D0098"/>
    <w:rsid w:val="006D30C3"/>
    <w:rsid w:val="00703BFA"/>
    <w:rsid w:val="007060AD"/>
    <w:rsid w:val="00714EC6"/>
    <w:rsid w:val="00721D6E"/>
    <w:rsid w:val="007247C8"/>
    <w:rsid w:val="0072525D"/>
    <w:rsid w:val="007426FA"/>
    <w:rsid w:val="00755598"/>
    <w:rsid w:val="00760BAE"/>
    <w:rsid w:val="00761E2A"/>
    <w:rsid w:val="007625C2"/>
    <w:rsid w:val="00766BAB"/>
    <w:rsid w:val="0077537A"/>
    <w:rsid w:val="00776DEB"/>
    <w:rsid w:val="007817D2"/>
    <w:rsid w:val="007903D7"/>
    <w:rsid w:val="0079378A"/>
    <w:rsid w:val="00793F38"/>
    <w:rsid w:val="00796A6D"/>
    <w:rsid w:val="007A1105"/>
    <w:rsid w:val="007B3149"/>
    <w:rsid w:val="007C5EDB"/>
    <w:rsid w:val="007D4B69"/>
    <w:rsid w:val="007D51EC"/>
    <w:rsid w:val="007E2D77"/>
    <w:rsid w:val="00803F50"/>
    <w:rsid w:val="008111D1"/>
    <w:rsid w:val="0082124D"/>
    <w:rsid w:val="00824F6F"/>
    <w:rsid w:val="00825E97"/>
    <w:rsid w:val="00856417"/>
    <w:rsid w:val="008602AF"/>
    <w:rsid w:val="0086618C"/>
    <w:rsid w:val="0087540A"/>
    <w:rsid w:val="00885B65"/>
    <w:rsid w:val="008A2583"/>
    <w:rsid w:val="008A3B19"/>
    <w:rsid w:val="008B762A"/>
    <w:rsid w:val="008C27C4"/>
    <w:rsid w:val="008D1CF3"/>
    <w:rsid w:val="008D428F"/>
    <w:rsid w:val="008E3990"/>
    <w:rsid w:val="00915ABE"/>
    <w:rsid w:val="009217AB"/>
    <w:rsid w:val="009457CD"/>
    <w:rsid w:val="00951226"/>
    <w:rsid w:val="00953802"/>
    <w:rsid w:val="00962417"/>
    <w:rsid w:val="009857BA"/>
    <w:rsid w:val="009875B6"/>
    <w:rsid w:val="0099052C"/>
    <w:rsid w:val="00995923"/>
    <w:rsid w:val="009A113A"/>
    <w:rsid w:val="009A1FA5"/>
    <w:rsid w:val="009A2283"/>
    <w:rsid w:val="009B5B67"/>
    <w:rsid w:val="009C6FE3"/>
    <w:rsid w:val="009F15B8"/>
    <w:rsid w:val="00A20F34"/>
    <w:rsid w:val="00A21B18"/>
    <w:rsid w:val="00A222CF"/>
    <w:rsid w:val="00A34C9D"/>
    <w:rsid w:val="00A417B0"/>
    <w:rsid w:val="00A44212"/>
    <w:rsid w:val="00A51484"/>
    <w:rsid w:val="00A540F2"/>
    <w:rsid w:val="00A548EB"/>
    <w:rsid w:val="00A67AF4"/>
    <w:rsid w:val="00A8020C"/>
    <w:rsid w:val="00A83CD4"/>
    <w:rsid w:val="00A85A41"/>
    <w:rsid w:val="00A879A0"/>
    <w:rsid w:val="00AA4D40"/>
    <w:rsid w:val="00AB2A10"/>
    <w:rsid w:val="00AC0F5A"/>
    <w:rsid w:val="00AD746D"/>
    <w:rsid w:val="00AE5B1F"/>
    <w:rsid w:val="00AF4722"/>
    <w:rsid w:val="00AF5BFF"/>
    <w:rsid w:val="00AF699E"/>
    <w:rsid w:val="00AF7B08"/>
    <w:rsid w:val="00B04B93"/>
    <w:rsid w:val="00B04FBE"/>
    <w:rsid w:val="00B1252E"/>
    <w:rsid w:val="00B1740C"/>
    <w:rsid w:val="00B2300F"/>
    <w:rsid w:val="00B248FD"/>
    <w:rsid w:val="00B27DDF"/>
    <w:rsid w:val="00B37BA6"/>
    <w:rsid w:val="00B56140"/>
    <w:rsid w:val="00B873E7"/>
    <w:rsid w:val="00B87964"/>
    <w:rsid w:val="00B90FC6"/>
    <w:rsid w:val="00B9110D"/>
    <w:rsid w:val="00B96DD4"/>
    <w:rsid w:val="00BB603A"/>
    <w:rsid w:val="00BC06BC"/>
    <w:rsid w:val="00BC5642"/>
    <w:rsid w:val="00BC66DB"/>
    <w:rsid w:val="00BC7A34"/>
    <w:rsid w:val="00BD5EC3"/>
    <w:rsid w:val="00BD6307"/>
    <w:rsid w:val="00BF6015"/>
    <w:rsid w:val="00C01DA5"/>
    <w:rsid w:val="00C11E02"/>
    <w:rsid w:val="00C12F28"/>
    <w:rsid w:val="00C132EB"/>
    <w:rsid w:val="00C178E6"/>
    <w:rsid w:val="00C22E1F"/>
    <w:rsid w:val="00C26C9F"/>
    <w:rsid w:val="00C55D3E"/>
    <w:rsid w:val="00C71DCD"/>
    <w:rsid w:val="00C756B7"/>
    <w:rsid w:val="00C96473"/>
    <w:rsid w:val="00CA76B0"/>
    <w:rsid w:val="00CB0875"/>
    <w:rsid w:val="00CB56B4"/>
    <w:rsid w:val="00CC4ED5"/>
    <w:rsid w:val="00CD37D2"/>
    <w:rsid w:val="00CD4EBF"/>
    <w:rsid w:val="00CE3ED0"/>
    <w:rsid w:val="00CE45FA"/>
    <w:rsid w:val="00CF0C31"/>
    <w:rsid w:val="00CF793A"/>
    <w:rsid w:val="00D10723"/>
    <w:rsid w:val="00D12D38"/>
    <w:rsid w:val="00D2187C"/>
    <w:rsid w:val="00D24AFA"/>
    <w:rsid w:val="00D26217"/>
    <w:rsid w:val="00D46460"/>
    <w:rsid w:val="00D47D30"/>
    <w:rsid w:val="00D50DA6"/>
    <w:rsid w:val="00D53AB5"/>
    <w:rsid w:val="00D566B5"/>
    <w:rsid w:val="00D674EE"/>
    <w:rsid w:val="00D67945"/>
    <w:rsid w:val="00D7106B"/>
    <w:rsid w:val="00D90443"/>
    <w:rsid w:val="00DA3168"/>
    <w:rsid w:val="00DA5665"/>
    <w:rsid w:val="00DB0AD9"/>
    <w:rsid w:val="00DB0B25"/>
    <w:rsid w:val="00DB7796"/>
    <w:rsid w:val="00DC3A8E"/>
    <w:rsid w:val="00DD4338"/>
    <w:rsid w:val="00DD4ADC"/>
    <w:rsid w:val="00E027BC"/>
    <w:rsid w:val="00E02D2B"/>
    <w:rsid w:val="00E05F0A"/>
    <w:rsid w:val="00E0684A"/>
    <w:rsid w:val="00E12279"/>
    <w:rsid w:val="00E21832"/>
    <w:rsid w:val="00E246CD"/>
    <w:rsid w:val="00E34E21"/>
    <w:rsid w:val="00E37CBF"/>
    <w:rsid w:val="00E45AF7"/>
    <w:rsid w:val="00E54F94"/>
    <w:rsid w:val="00E57861"/>
    <w:rsid w:val="00E57F5C"/>
    <w:rsid w:val="00E64EBD"/>
    <w:rsid w:val="00E67580"/>
    <w:rsid w:val="00E7205B"/>
    <w:rsid w:val="00E73E59"/>
    <w:rsid w:val="00E840C1"/>
    <w:rsid w:val="00E85643"/>
    <w:rsid w:val="00E97C8D"/>
    <w:rsid w:val="00EA3FDF"/>
    <w:rsid w:val="00EB3087"/>
    <w:rsid w:val="00EC2A19"/>
    <w:rsid w:val="00EC555F"/>
    <w:rsid w:val="00EC7EB0"/>
    <w:rsid w:val="00ED45E5"/>
    <w:rsid w:val="00EE26CB"/>
    <w:rsid w:val="00EF66CA"/>
    <w:rsid w:val="00F27F49"/>
    <w:rsid w:val="00F42CFB"/>
    <w:rsid w:val="00F43A03"/>
    <w:rsid w:val="00F463E9"/>
    <w:rsid w:val="00F51E9D"/>
    <w:rsid w:val="00F5553B"/>
    <w:rsid w:val="00F62361"/>
    <w:rsid w:val="00F665CC"/>
    <w:rsid w:val="00F7372D"/>
    <w:rsid w:val="00F7546D"/>
    <w:rsid w:val="00F879EC"/>
    <w:rsid w:val="00F93201"/>
    <w:rsid w:val="00FB011E"/>
    <w:rsid w:val="00FB20AC"/>
    <w:rsid w:val="00FB6D76"/>
    <w:rsid w:val="00FF4E29"/>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86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7949"/>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B96DD4"/>
    <w:pPr>
      <w:tabs>
        <w:tab w:val="center" w:pos="4153"/>
        <w:tab w:val="right" w:pos="8306"/>
      </w:tabs>
      <w:spacing w:after="0" w:line="240" w:lineRule="auto"/>
    </w:pPr>
  </w:style>
  <w:style w:type="character" w:customStyle="1" w:styleId="En-tteCar">
    <w:name w:val="En-tête Car"/>
    <w:basedOn w:val="Policepardfaut"/>
    <w:link w:val="En-tte"/>
    <w:uiPriority w:val="99"/>
    <w:rsid w:val="00B96DD4"/>
  </w:style>
  <w:style w:type="paragraph" w:styleId="Pieddepage">
    <w:name w:val="footer"/>
    <w:basedOn w:val="Normal"/>
    <w:link w:val="PieddepageCar"/>
    <w:uiPriority w:val="99"/>
    <w:unhideWhenUsed/>
    <w:rsid w:val="00B96DD4"/>
    <w:pPr>
      <w:tabs>
        <w:tab w:val="center" w:pos="4153"/>
        <w:tab w:val="right" w:pos="8306"/>
      </w:tabs>
      <w:spacing w:after="0" w:line="240" w:lineRule="auto"/>
    </w:pPr>
  </w:style>
  <w:style w:type="character" w:customStyle="1" w:styleId="PieddepageCar">
    <w:name w:val="Pied de page Car"/>
    <w:basedOn w:val="Policepardfaut"/>
    <w:link w:val="Pieddepage"/>
    <w:uiPriority w:val="99"/>
    <w:rsid w:val="00B96DD4"/>
  </w:style>
  <w:style w:type="paragraph" w:styleId="Textedebulles">
    <w:name w:val="Balloon Text"/>
    <w:basedOn w:val="Normal"/>
    <w:link w:val="TextedebullesCar"/>
    <w:uiPriority w:val="99"/>
    <w:semiHidden/>
    <w:unhideWhenUsed/>
    <w:rsid w:val="00B96DD4"/>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B96DD4"/>
    <w:rPr>
      <w:rFonts w:ascii="Tahoma" w:hAnsi="Tahoma" w:cs="Tahoma"/>
      <w:sz w:val="16"/>
      <w:szCs w:val="16"/>
    </w:rPr>
  </w:style>
  <w:style w:type="paragraph" w:styleId="Paragraphedeliste">
    <w:name w:val="List Paragraph"/>
    <w:basedOn w:val="Normal"/>
    <w:uiPriority w:val="34"/>
    <w:qFormat/>
    <w:rsid w:val="00776DEB"/>
    <w:pPr>
      <w:ind w:left="720"/>
      <w:contextualSpacing/>
    </w:pPr>
  </w:style>
  <w:style w:type="character" w:styleId="Textedelespacerserv">
    <w:name w:val="Placeholder Text"/>
    <w:basedOn w:val="Policepardfaut"/>
    <w:uiPriority w:val="99"/>
    <w:semiHidden/>
    <w:rsid w:val="00C96473"/>
    <w:rPr>
      <w:color w:val="808080"/>
    </w:rPr>
  </w:style>
  <w:style w:type="paragraph" w:styleId="NormalWeb">
    <w:name w:val="Normal (Web)"/>
    <w:basedOn w:val="Normal"/>
    <w:uiPriority w:val="99"/>
    <w:semiHidden/>
    <w:unhideWhenUsed/>
    <w:rsid w:val="003D7765"/>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hps">
    <w:name w:val="hps"/>
    <w:basedOn w:val="Policepardfaut"/>
    <w:rsid w:val="001364A6"/>
  </w:style>
  <w:style w:type="character" w:customStyle="1" w:styleId="shorttext">
    <w:name w:val="short_text"/>
    <w:basedOn w:val="Policepardfaut"/>
    <w:rsid w:val="00D90443"/>
  </w:style>
</w:styles>
</file>

<file path=word/webSettings.xml><?xml version="1.0" encoding="utf-8"?>
<w:webSettings xmlns:r="http://schemas.openxmlformats.org/officeDocument/2006/relationships" xmlns:w="http://schemas.openxmlformats.org/wordprocessingml/2006/main">
  <w:divs>
    <w:div w:id="71439063">
      <w:bodyDiv w:val="1"/>
      <w:marLeft w:val="0"/>
      <w:marRight w:val="0"/>
      <w:marTop w:val="0"/>
      <w:marBottom w:val="0"/>
      <w:divBdr>
        <w:top w:val="none" w:sz="0" w:space="0" w:color="auto"/>
        <w:left w:val="none" w:sz="0" w:space="0" w:color="auto"/>
        <w:bottom w:val="none" w:sz="0" w:space="0" w:color="auto"/>
        <w:right w:val="none" w:sz="0" w:space="0" w:color="auto"/>
      </w:divBdr>
    </w:div>
    <w:div w:id="140737773">
      <w:bodyDiv w:val="1"/>
      <w:marLeft w:val="0"/>
      <w:marRight w:val="0"/>
      <w:marTop w:val="0"/>
      <w:marBottom w:val="0"/>
      <w:divBdr>
        <w:top w:val="none" w:sz="0" w:space="0" w:color="auto"/>
        <w:left w:val="none" w:sz="0" w:space="0" w:color="auto"/>
        <w:bottom w:val="none" w:sz="0" w:space="0" w:color="auto"/>
        <w:right w:val="none" w:sz="0" w:space="0" w:color="auto"/>
      </w:divBdr>
    </w:div>
    <w:div w:id="281351598">
      <w:bodyDiv w:val="1"/>
      <w:marLeft w:val="0"/>
      <w:marRight w:val="0"/>
      <w:marTop w:val="0"/>
      <w:marBottom w:val="0"/>
      <w:divBdr>
        <w:top w:val="none" w:sz="0" w:space="0" w:color="auto"/>
        <w:left w:val="none" w:sz="0" w:space="0" w:color="auto"/>
        <w:bottom w:val="none" w:sz="0" w:space="0" w:color="auto"/>
        <w:right w:val="none" w:sz="0" w:space="0" w:color="auto"/>
      </w:divBdr>
    </w:div>
    <w:div w:id="331109361">
      <w:bodyDiv w:val="1"/>
      <w:marLeft w:val="0"/>
      <w:marRight w:val="0"/>
      <w:marTop w:val="0"/>
      <w:marBottom w:val="0"/>
      <w:divBdr>
        <w:top w:val="none" w:sz="0" w:space="0" w:color="auto"/>
        <w:left w:val="none" w:sz="0" w:space="0" w:color="auto"/>
        <w:bottom w:val="none" w:sz="0" w:space="0" w:color="auto"/>
        <w:right w:val="none" w:sz="0" w:space="0" w:color="auto"/>
      </w:divBdr>
    </w:div>
    <w:div w:id="359280023">
      <w:bodyDiv w:val="1"/>
      <w:marLeft w:val="0"/>
      <w:marRight w:val="0"/>
      <w:marTop w:val="0"/>
      <w:marBottom w:val="0"/>
      <w:divBdr>
        <w:top w:val="none" w:sz="0" w:space="0" w:color="auto"/>
        <w:left w:val="none" w:sz="0" w:space="0" w:color="auto"/>
        <w:bottom w:val="none" w:sz="0" w:space="0" w:color="auto"/>
        <w:right w:val="none" w:sz="0" w:space="0" w:color="auto"/>
      </w:divBdr>
    </w:div>
    <w:div w:id="441147934">
      <w:bodyDiv w:val="1"/>
      <w:marLeft w:val="0"/>
      <w:marRight w:val="0"/>
      <w:marTop w:val="0"/>
      <w:marBottom w:val="0"/>
      <w:divBdr>
        <w:top w:val="none" w:sz="0" w:space="0" w:color="auto"/>
        <w:left w:val="none" w:sz="0" w:space="0" w:color="auto"/>
        <w:bottom w:val="none" w:sz="0" w:space="0" w:color="auto"/>
        <w:right w:val="none" w:sz="0" w:space="0" w:color="auto"/>
      </w:divBdr>
    </w:div>
    <w:div w:id="465657944">
      <w:bodyDiv w:val="1"/>
      <w:marLeft w:val="0"/>
      <w:marRight w:val="0"/>
      <w:marTop w:val="0"/>
      <w:marBottom w:val="0"/>
      <w:divBdr>
        <w:top w:val="none" w:sz="0" w:space="0" w:color="auto"/>
        <w:left w:val="none" w:sz="0" w:space="0" w:color="auto"/>
        <w:bottom w:val="none" w:sz="0" w:space="0" w:color="auto"/>
        <w:right w:val="none" w:sz="0" w:space="0" w:color="auto"/>
      </w:divBdr>
    </w:div>
    <w:div w:id="572392890">
      <w:bodyDiv w:val="1"/>
      <w:marLeft w:val="0"/>
      <w:marRight w:val="0"/>
      <w:marTop w:val="0"/>
      <w:marBottom w:val="0"/>
      <w:divBdr>
        <w:top w:val="none" w:sz="0" w:space="0" w:color="auto"/>
        <w:left w:val="none" w:sz="0" w:space="0" w:color="auto"/>
        <w:bottom w:val="none" w:sz="0" w:space="0" w:color="auto"/>
        <w:right w:val="none" w:sz="0" w:space="0" w:color="auto"/>
      </w:divBdr>
    </w:div>
    <w:div w:id="611127495">
      <w:bodyDiv w:val="1"/>
      <w:marLeft w:val="0"/>
      <w:marRight w:val="0"/>
      <w:marTop w:val="0"/>
      <w:marBottom w:val="0"/>
      <w:divBdr>
        <w:top w:val="none" w:sz="0" w:space="0" w:color="auto"/>
        <w:left w:val="none" w:sz="0" w:space="0" w:color="auto"/>
        <w:bottom w:val="none" w:sz="0" w:space="0" w:color="auto"/>
        <w:right w:val="none" w:sz="0" w:space="0" w:color="auto"/>
      </w:divBdr>
      <w:divsChild>
        <w:div w:id="610092419">
          <w:marLeft w:val="965"/>
          <w:marRight w:val="0"/>
          <w:marTop w:val="96"/>
          <w:marBottom w:val="0"/>
          <w:divBdr>
            <w:top w:val="none" w:sz="0" w:space="0" w:color="auto"/>
            <w:left w:val="none" w:sz="0" w:space="0" w:color="auto"/>
            <w:bottom w:val="none" w:sz="0" w:space="0" w:color="auto"/>
            <w:right w:val="none" w:sz="0" w:space="0" w:color="auto"/>
          </w:divBdr>
        </w:div>
        <w:div w:id="1532106508">
          <w:marLeft w:val="965"/>
          <w:marRight w:val="0"/>
          <w:marTop w:val="96"/>
          <w:marBottom w:val="0"/>
          <w:divBdr>
            <w:top w:val="none" w:sz="0" w:space="0" w:color="auto"/>
            <w:left w:val="none" w:sz="0" w:space="0" w:color="auto"/>
            <w:bottom w:val="none" w:sz="0" w:space="0" w:color="auto"/>
            <w:right w:val="none" w:sz="0" w:space="0" w:color="auto"/>
          </w:divBdr>
        </w:div>
      </w:divsChild>
    </w:div>
    <w:div w:id="970742613">
      <w:bodyDiv w:val="1"/>
      <w:marLeft w:val="0"/>
      <w:marRight w:val="0"/>
      <w:marTop w:val="0"/>
      <w:marBottom w:val="0"/>
      <w:divBdr>
        <w:top w:val="none" w:sz="0" w:space="0" w:color="auto"/>
        <w:left w:val="none" w:sz="0" w:space="0" w:color="auto"/>
        <w:bottom w:val="none" w:sz="0" w:space="0" w:color="auto"/>
        <w:right w:val="none" w:sz="0" w:space="0" w:color="auto"/>
      </w:divBdr>
    </w:div>
    <w:div w:id="1361399997">
      <w:bodyDiv w:val="1"/>
      <w:marLeft w:val="0"/>
      <w:marRight w:val="0"/>
      <w:marTop w:val="0"/>
      <w:marBottom w:val="0"/>
      <w:divBdr>
        <w:top w:val="none" w:sz="0" w:space="0" w:color="auto"/>
        <w:left w:val="none" w:sz="0" w:space="0" w:color="auto"/>
        <w:bottom w:val="none" w:sz="0" w:space="0" w:color="auto"/>
        <w:right w:val="none" w:sz="0" w:space="0" w:color="auto"/>
      </w:divBdr>
    </w:div>
    <w:div w:id="1366634676">
      <w:bodyDiv w:val="1"/>
      <w:marLeft w:val="0"/>
      <w:marRight w:val="0"/>
      <w:marTop w:val="0"/>
      <w:marBottom w:val="0"/>
      <w:divBdr>
        <w:top w:val="none" w:sz="0" w:space="0" w:color="auto"/>
        <w:left w:val="none" w:sz="0" w:space="0" w:color="auto"/>
        <w:bottom w:val="none" w:sz="0" w:space="0" w:color="auto"/>
        <w:right w:val="none" w:sz="0" w:space="0" w:color="auto"/>
      </w:divBdr>
    </w:div>
    <w:div w:id="1608536745">
      <w:bodyDiv w:val="1"/>
      <w:marLeft w:val="0"/>
      <w:marRight w:val="0"/>
      <w:marTop w:val="0"/>
      <w:marBottom w:val="0"/>
      <w:divBdr>
        <w:top w:val="none" w:sz="0" w:space="0" w:color="auto"/>
        <w:left w:val="none" w:sz="0" w:space="0" w:color="auto"/>
        <w:bottom w:val="none" w:sz="0" w:space="0" w:color="auto"/>
        <w:right w:val="none" w:sz="0" w:space="0" w:color="auto"/>
      </w:divBdr>
    </w:div>
    <w:div w:id="1736853053">
      <w:bodyDiv w:val="1"/>
      <w:marLeft w:val="0"/>
      <w:marRight w:val="0"/>
      <w:marTop w:val="0"/>
      <w:marBottom w:val="0"/>
      <w:divBdr>
        <w:top w:val="none" w:sz="0" w:space="0" w:color="auto"/>
        <w:left w:val="none" w:sz="0" w:space="0" w:color="auto"/>
        <w:bottom w:val="none" w:sz="0" w:space="0" w:color="auto"/>
        <w:right w:val="none" w:sz="0" w:space="0" w:color="auto"/>
      </w:divBdr>
    </w:div>
    <w:div w:id="20427799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emf"/><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emf"/><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header" Target="header1.xml"/><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7B5BE1F-B8B6-41EC-9D79-5BA3DBE59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980</TotalTime>
  <Pages>18</Pages>
  <Words>1862</Words>
  <Characters>10242</Characters>
  <Application>Microsoft Office Word</Application>
  <DocSecurity>0</DocSecurity>
  <Lines>85</Lines>
  <Paragraphs>24</Paragraphs>
  <ScaleCrop>false</ScaleCrop>
  <HeadingPairs>
    <vt:vector size="4" baseType="variant">
      <vt:variant>
        <vt:lpstr>Titre</vt:lpstr>
      </vt:variant>
      <vt:variant>
        <vt:i4>1</vt:i4>
      </vt:variant>
      <vt:variant>
        <vt:lpstr>العنوان</vt:lpstr>
      </vt:variant>
      <vt:variant>
        <vt:i4>1</vt:i4>
      </vt:variant>
    </vt:vector>
  </HeadingPairs>
  <TitlesOfParts>
    <vt:vector size="2" baseType="lpstr">
      <vt:lpstr>Chapitre V                                                                                                 Application numérique</vt:lpstr>
      <vt:lpstr>Chapitre V                                                                                                 Application numérique</vt:lpstr>
    </vt:vector>
  </TitlesOfParts>
  <Company>arwa</Company>
  <LinksUpToDate>false</LinksUpToDate>
  <CharactersWithSpaces>12080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Chapitre V                                                                                                 Application numérique</dc:title>
  <dc:creator>PC</dc:creator>
  <cp:lastModifiedBy>fox</cp:lastModifiedBy>
  <cp:revision>28</cp:revision>
  <dcterms:created xsi:type="dcterms:W3CDTF">2012-06-05T00:16:00Z</dcterms:created>
  <dcterms:modified xsi:type="dcterms:W3CDTF">2012-07-09T06:27:00Z</dcterms:modified>
</cp:coreProperties>
</file>